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4"/>
        <w:gridCol w:w="3024"/>
      </w:tblGrid>
      <w:tr>
        <w:tc>
          <w:tcPr>
            <w:tcW w:type="dxa" w:w="4824"/>
          </w:tcPr>
          <w:p>
            <w:r>
              <w:rPr>
                <w:b/>
                <w:color w:val="5C7180"/>
                <w:sz w:val="18"/>
              </w:rPr>
              <w:t>THE WESTON &amp; SAMPSON WAY OF PROJECT MANAGEMENT</w:t>
            </w:r>
          </w:p>
        </w:tc>
        <w:tc>
          <w:tcPr>
            <w:tcW w:type="dxa" w:w="4824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371600" cy="24132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weston-sampson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4132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80" w:before="40"/>
        <w:pBdr>
          <w:bottom w:val="single" w:sz="12" w:space="1" w:color="E01838"/>
        </w:pBdr>
      </w:pPr>
    </w:p>
    <w:p>
      <w:pPr>
        <w:spacing w:after="0" w:before="0" w:line="300" w:lineRule="auto"/>
      </w:pPr>
      <w:r>
        <w:rPr>
          <w:b/>
          <w:i w:val="0"/>
          <w:color w:val="0061A0"/>
          <w:sz w:val="22"/>
        </w:rPr>
        <w:t>Module 1 · Project Pursuit</w:t>
      </w:r>
    </w:p>
    <w:p>
      <w:pPr>
        <w:spacing w:after="40" w:before="0" w:line="252" w:lineRule="auto"/>
      </w:pPr>
      <w:r>
        <w:rPr>
          <w:b/>
          <w:i w:val="0"/>
          <w:color w:val="063A5E"/>
          <w:sz w:val="40"/>
        </w:rPr>
        <w:t>Week 4 — The Pre-Proposal Move</w:t>
      </w:r>
    </w:p>
    <w:p>
      <w:pPr>
        <w:spacing w:after="40" w:before="0" w:line="300" w:lineRule="auto"/>
      </w:pPr>
      <w:r>
        <w:rPr>
          <w:b w:val="0"/>
          <w:i w:val="0"/>
          <w:color w:val="5C7180"/>
          <w:sz w:val="23"/>
        </w:rPr>
        <w:t>Facilitator Guide · Live Virtual Session (45 minutes) · Module 1 Capstone</w:t>
      </w:r>
    </w:p>
    <w:p>
      <w:pPr>
        <w:spacing w:after="160" w:before="0" w:line="300" w:lineRule="auto"/>
      </w:pPr>
      <w:r>
        <w:rPr>
          <w:b w:val="0"/>
          <w:i/>
          <w:color w:val="5C7180"/>
          <w:sz w:val="18"/>
        </w:rPr>
        <w:t>Designed &amp; facilitated by AEC LEAD LLC  ·  Produced with Zweig Group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48"/>
      </w:tblGrid>
      <w:tr>
        <w:tc>
          <w:tcPr>
            <w:tcW w:type="dxa" w:w="9648"/>
            <w:tcW w:w="9400" w:type="dxa"/>
            <w:shd w:val="clear" w:fill="EAF2F7"/>
          </w:tcPr>
          <w:p>
            <w:pPr>
              <w:spacing w:before="120" w:after="120"/>
            </w:pPr>
            <w:r>
              <w:rPr>
                <w:b/>
                <w:color w:val="6FA000"/>
                <w:sz w:val="18"/>
              </w:rPr>
              <w:t xml:space="preserve">THE ONE IDEA   </w:t>
            </w:r>
            <w:r>
              <w:rPr>
                <w:b/>
                <w:color w:val="063A5E"/>
                <w:sz w:val="23"/>
              </w:rPr>
              <w:t>If we only talk to the client through the proposal, we compete on price. The pre-proposal move is how we reframe the work around value — and carry a raw lead through to a logged, trustworthy opportunity.</w:t>
            </w:r>
          </w:p>
        </w:tc>
      </w:tr>
    </w:tbl>
    <w:p>
      <w:pPr>
        <w:spacing w:after="40"/>
      </w:pPr>
    </w:p>
    <w:p>
      <w:pPr>
        <w:keepNext/>
        <w:spacing w:before="280" w:after="80"/>
      </w:pPr>
      <w:r>
        <w:rPr>
          <w:b/>
          <w:color w:val="6FA000"/>
          <w:sz w:val="26"/>
        </w:rPr>
        <w:t xml:space="preserve">1  </w:t>
      </w:r>
      <w:r>
        <w:rPr>
          <w:b/>
          <w:color w:val="063A5E"/>
          <w:sz w:val="26"/>
        </w:rPr>
        <w:t>Session at a glance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24"/>
        <w:gridCol w:w="4824"/>
      </w:tblGrid>
      <w:tr>
        <w:tc>
          <w:tcPr>
            <w:tcW w:type="dxa" w:w="4824"/>
            <w:tcW w:w="2300" w:type="dxa"/>
          </w:tcPr>
          <w:p>
            <w:pPr>
              <w:spacing w:after="80" w:before="80"/>
            </w:pPr>
            <w:r>
              <w:rPr>
                <w:b/>
                <w:color w:val="063A5E"/>
                <w:sz w:val="20"/>
              </w:rPr>
              <w:t>Format</w:t>
            </w:r>
          </w:p>
        </w:tc>
        <w:tc>
          <w:tcPr>
            <w:tcW w:type="dxa" w:w="4824"/>
            <w:tcW w:w="7100" w:type="dxa"/>
          </w:tcPr>
          <w:p>
            <w:pPr>
              <w:spacing w:after="80" w:before="80"/>
            </w:pPr>
            <w:r>
              <w:rPr>
                <w:sz w:val="20"/>
              </w:rPr>
              <w:t>Live virtual. Cameras on. Technical-Lead / Marketing-Lead pairs for role-play; breakout rooms.</w:t>
            </w:r>
          </w:p>
        </w:tc>
      </w:tr>
      <w:tr>
        <w:tc>
          <w:tcPr>
            <w:tcW w:type="dxa" w:w="4824"/>
            <w:tcW w:w="2300" w:type="dxa"/>
            <w:shd w:val="clear" w:fill="F4F7F9"/>
          </w:tcPr>
          <w:p>
            <w:pPr>
              <w:spacing w:after="80" w:before="80"/>
            </w:pPr>
            <w:r>
              <w:rPr>
                <w:b/>
                <w:color w:val="063A5E"/>
                <w:sz w:val="20"/>
              </w:rPr>
              <w:t>Length</w:t>
            </w:r>
          </w:p>
        </w:tc>
        <w:tc>
          <w:tcPr>
            <w:tcW w:type="dxa" w:w="4824"/>
            <w:tcW w:w="7100" w:type="dxa"/>
            <w:shd w:val="clear" w:fill="F4F7F9"/>
          </w:tcPr>
          <w:p>
            <w:pPr>
              <w:spacing w:after="80" w:before="80"/>
            </w:pPr>
            <w:r>
              <w:rPr>
                <w:sz w:val="20"/>
              </w:rPr>
              <w:t>45 minutes, chunked so something interactive happens every ~8 minutes (Pike 90/20/8).</w:t>
            </w:r>
          </w:p>
        </w:tc>
      </w:tr>
      <w:tr>
        <w:tc>
          <w:tcPr>
            <w:tcW w:type="dxa" w:w="4824"/>
            <w:tcW w:w="2300" w:type="dxa"/>
          </w:tcPr>
          <w:p>
            <w:pPr>
              <w:spacing w:after="80" w:before="80"/>
            </w:pPr>
            <w:r>
              <w:rPr>
                <w:b/>
                <w:color w:val="063A5E"/>
                <w:sz w:val="20"/>
              </w:rPr>
              <w:t>Pre-work (required)</w:t>
            </w:r>
          </w:p>
        </w:tc>
        <w:tc>
          <w:tcPr>
            <w:tcW w:type="dxa" w:w="4824"/>
            <w:tcW w:w="7100" w:type="dxa"/>
          </w:tcPr>
          <w:p>
            <w:pPr>
              <w:spacing w:after="80" w:before="80"/>
            </w:pPr>
            <w:r>
              <w:rPr>
                <w:sz w:val="20"/>
              </w:rPr>
              <w:t>Learners have read the Week 4 module and the sanitized mock RFP, run it through the Go/No-Go and forecast lens, identified a value frame, and drafted two pre-proposal questions.</w:t>
            </w:r>
          </w:p>
        </w:tc>
      </w:tr>
      <w:tr>
        <w:tc>
          <w:tcPr>
            <w:tcW w:type="dxa" w:w="4824"/>
            <w:tcW w:w="2300" w:type="dxa"/>
            <w:shd w:val="clear" w:fill="F4F7F9"/>
          </w:tcPr>
          <w:p>
            <w:pPr>
              <w:spacing w:after="80" w:before="80"/>
            </w:pPr>
            <w:r>
              <w:rPr>
                <w:b/>
                <w:color w:val="063A5E"/>
                <w:sz w:val="20"/>
              </w:rPr>
              <w:t>You will need</w:t>
            </w:r>
          </w:p>
        </w:tc>
        <w:tc>
          <w:tcPr>
            <w:tcW w:type="dxa" w:w="4824"/>
            <w:tcW w:w="7100" w:type="dxa"/>
            <w:shd w:val="clear" w:fill="F4F7F9"/>
          </w:tcPr>
          <w:p>
            <w:pPr>
              <w:spacing w:after="80" w:before="80"/>
            </w:pPr>
            <w:r>
              <w:rPr>
                <w:sz w:val="20"/>
              </w:rPr>
              <w:t>The sanitized mock RFP; the slide deck; breakout rooms; a volunteer or facilitator to play "the client"; a shared doc to capture value frames.</w:t>
            </w:r>
          </w:p>
        </w:tc>
      </w:tr>
      <w:tr>
        <w:tc>
          <w:tcPr>
            <w:tcW w:type="dxa" w:w="4824"/>
            <w:tcW w:w="2300" w:type="dxa"/>
          </w:tcPr>
          <w:p>
            <w:pPr>
              <w:spacing w:after="80" w:before="80"/>
            </w:pPr>
            <w:r>
              <w:rPr>
                <w:b/>
                <w:color w:val="063A5E"/>
                <w:sz w:val="20"/>
              </w:rPr>
              <w:t>Outcome</w:t>
            </w:r>
          </w:p>
        </w:tc>
        <w:tc>
          <w:tcPr>
            <w:tcW w:type="dxa" w:w="4824"/>
            <w:tcW w:w="7100" w:type="dxa"/>
          </w:tcPr>
          <w:p>
            <w:pPr>
              <w:spacing w:after="80" w:before="80"/>
            </w:pPr>
            <w:r>
              <w:rPr>
                <w:sz w:val="20"/>
              </w:rPr>
              <w:t>Each participant can run a value-focused pre-proposal conversation and carry a lead from raw to logged — closing Module 1.</w:t>
            </w:r>
          </w:p>
        </w:tc>
      </w:tr>
    </w:tbl>
    <w:p>
      <w:pPr>
        <w:keepNext/>
        <w:spacing w:before="280" w:after="80"/>
      </w:pPr>
      <w:r>
        <w:rPr>
          <w:b/>
          <w:color w:val="6FA000"/>
          <w:sz w:val="26"/>
        </w:rPr>
        <w:t xml:space="preserve">2  </w:t>
      </w:r>
      <w:r>
        <w:rPr>
          <w:b/>
          <w:color w:val="063A5E"/>
          <w:sz w:val="26"/>
        </w:rPr>
        <w:t>What participants will be able to do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Distinguish. </w:t>
      </w:r>
      <w:r>
        <w:rPr>
          <w:color w:val="15242E"/>
          <w:sz w:val="21"/>
        </w:rPr>
        <w:t>Tell price, cost, and value apart — and explain why winning the good work means shifting the client from price to value.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Run the move. </w:t>
      </w:r>
      <w:r>
        <w:rPr>
          <w:color w:val="15242E"/>
          <w:sz w:val="21"/>
        </w:rPr>
        <w:t>Lead a short, value-focused pre-proposal conversation that reframes the project before the proposal is written.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Close the loop. </w:t>
      </w:r>
      <w:r>
        <w:rPr>
          <w:color w:val="15242E"/>
          <w:sz w:val="21"/>
        </w:rPr>
        <w:t>Carry a raw lead through Go/No-Go, forecast, and reframe to a logged, trustworthy opportunity.</w:t>
      </w:r>
    </w:p>
    <w:p>
      <w:pPr>
        <w:keepNext/>
        <w:spacing w:before="280" w:after="80"/>
      </w:pPr>
      <w:r>
        <w:rPr>
          <w:b/>
          <w:color w:val="6FA000"/>
          <w:sz w:val="26"/>
        </w:rPr>
        <w:t xml:space="preserve">3  </w:t>
      </w:r>
      <w:r>
        <w:rPr>
          <w:b/>
          <w:color w:val="063A5E"/>
          <w:sz w:val="26"/>
        </w:rPr>
        <w:t>Run of show</w:t>
      </w:r>
    </w:p>
    <w:p>
      <w:pPr>
        <w:spacing w:after="160" w:before="0" w:line="300" w:lineRule="auto"/>
      </w:pPr>
      <w:r>
        <w:rPr>
          <w:b w:val="0"/>
          <w:i/>
          <w:color w:val="5C7180"/>
          <w:sz w:val="20"/>
        </w:rPr>
        <w:t>This is the capstone — participants do most of the talking. You set up, time the rounds, and debrief.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tcW w:w="900" w:type="dxa"/>
            <w:shd w:val="clear" w:fill="0061A0"/>
          </w:tcPr>
          <w:p>
            <w:pPr>
              <w:spacing w:after="40" w:before="40"/>
            </w:pPr>
            <w:r>
              <w:rPr>
                <w:b/>
                <w:color w:val="FFFFFF"/>
                <w:sz w:val="19"/>
              </w:rPr>
              <w:t>Start</w:t>
            </w:r>
          </w:p>
        </w:tc>
        <w:tc>
          <w:tcPr>
            <w:tcW w:type="dxa" w:w="1930"/>
            <w:tcW w:w="800" w:type="dxa"/>
            <w:shd w:val="clear" w:fill="0061A0"/>
          </w:tcPr>
          <w:p>
            <w:pPr>
              <w:spacing w:after="40" w:before="40"/>
            </w:pPr>
            <w:r>
              <w:rPr>
                <w:b/>
                <w:color w:val="FFFFFF"/>
                <w:sz w:val="19"/>
              </w:rPr>
              <w:t>Time</w:t>
            </w:r>
          </w:p>
        </w:tc>
        <w:tc>
          <w:tcPr>
            <w:tcW w:type="dxa" w:w="1930"/>
            <w:tcW w:w="2200" w:type="dxa"/>
            <w:shd w:val="clear" w:fill="0061A0"/>
          </w:tcPr>
          <w:p>
            <w:pPr>
              <w:spacing w:after="40" w:before="40"/>
            </w:pPr>
            <w:r>
              <w:rPr>
                <w:b/>
                <w:color w:val="FFFFFF"/>
                <w:sz w:val="19"/>
              </w:rPr>
              <w:t>Segment</w:t>
            </w:r>
          </w:p>
        </w:tc>
        <w:tc>
          <w:tcPr>
            <w:tcW w:type="dxa" w:w="1930"/>
            <w:tcW w:w="4200" w:type="dxa"/>
            <w:shd w:val="clear" w:fill="0061A0"/>
          </w:tcPr>
          <w:p>
            <w:pPr>
              <w:spacing w:after="40" w:before="40"/>
            </w:pPr>
            <w:r>
              <w:rPr>
                <w:b/>
                <w:color w:val="FFFFFF"/>
                <w:sz w:val="19"/>
              </w:rPr>
              <w:t>What happens</w:t>
            </w:r>
          </w:p>
        </w:tc>
        <w:tc>
          <w:tcPr>
            <w:tcW w:type="dxa" w:w="1930"/>
            <w:tcW w:w="1300" w:type="dxa"/>
            <w:shd w:val="clear" w:fill="0061A0"/>
          </w:tcPr>
          <w:p>
            <w:pPr>
              <w:spacing w:after="40" w:before="40"/>
            </w:pPr>
            <w:r>
              <w:rPr>
                <w:b/>
                <w:color w:val="FFFFFF"/>
                <w:sz w:val="19"/>
              </w:rPr>
              <w:t>Support</w:t>
            </w:r>
          </w:p>
        </w:tc>
      </w:tr>
      <w:tr>
        <w:tc>
          <w:tcPr>
            <w:tcW w:type="dxa" w:w="1930"/>
            <w:tcW w:w="900" w:type="dxa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0:00</w:t>
            </w:r>
          </w:p>
        </w:tc>
        <w:tc>
          <w:tcPr>
            <w:tcW w:type="dxa" w:w="1930"/>
            <w:tcW w:w="800" w:type="dxa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5 min</w:t>
            </w:r>
          </w:p>
        </w:tc>
        <w:tc>
          <w:tcPr>
            <w:tcW w:type="dxa" w:w="1930"/>
            <w:tcW w:w="2200" w:type="dxa"/>
          </w:tcPr>
          <w:p>
            <w:pPr>
              <w:spacing w:after="60" w:before="60"/>
            </w:pPr>
            <w:r>
              <w:rPr>
                <w:b/>
                <w:color w:val="063A5E"/>
                <w:sz w:val="19"/>
              </w:rPr>
              <w:t>Cold open &amp; frame</w:t>
            </w:r>
          </w:p>
        </w:tc>
        <w:tc>
          <w:tcPr>
            <w:tcW w:type="dxa" w:w="1930"/>
            <w:tcW w:w="4200" w:type="dxa"/>
          </w:tcPr>
          <w:p>
            <w:pPr>
              <w:spacing w:after="60" w:before="60"/>
            </w:pPr>
            <w:r>
              <w:rPr>
                <w:sz w:val="18"/>
              </w:rPr>
              <w:t>Ask: “Think of a pursuit we lost on price. Did the client ever understand what they were actually buying?” Reframe: most proposals compete on price because we never changed the conversation. Today we change it before the proposal.</w:t>
            </w:r>
          </w:p>
        </w:tc>
        <w:tc>
          <w:tcPr>
            <w:tcW w:type="dxa" w:w="1930"/>
            <w:tcW w:w="1300" w:type="dxa"/>
          </w:tcPr>
          <w:p>
            <w:pPr>
              <w:spacing w:after="60" w:before="60"/>
            </w:pPr>
            <w:r>
              <w:rPr>
                <w:sz w:val="19"/>
              </w:rPr>
              <w:t>Slides 1–3</w:t>
            </w:r>
          </w:p>
        </w:tc>
      </w:tr>
      <w:tr>
        <w:tc>
          <w:tcPr>
            <w:tcW w:type="dxa" w:w="1930"/>
            <w:tcW w:w="9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0:05</w:t>
            </w:r>
          </w:p>
        </w:tc>
        <w:tc>
          <w:tcPr>
            <w:tcW w:type="dxa" w:w="1930"/>
            <w:tcW w:w="8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7 min</w:t>
            </w:r>
          </w:p>
        </w:tc>
        <w:tc>
          <w:tcPr>
            <w:tcW w:type="dxa" w:w="1930"/>
            <w:tcW w:w="22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63A5E"/>
                <w:sz w:val="19"/>
              </w:rPr>
              <w:t>Price · cost · value</w:t>
            </w:r>
          </w:p>
        </w:tc>
        <w:tc>
          <w:tcPr>
            <w:tcW w:type="dxa" w:w="1930"/>
            <w:tcW w:w="4200" w:type="dxa"/>
            <w:shd w:val="clear" w:fill="F4F7F9"/>
          </w:tcPr>
          <w:p>
            <w:pPr>
              <w:spacing w:after="60" w:before="60"/>
            </w:pPr>
            <w:r>
              <w:rPr>
                <w:sz w:val="18"/>
              </w:rPr>
              <w:t>Walk the three numbers with one shared example. Have the room place the mock RFP’s likely client mindset on a price↔value line. Land it: value is the only one of the three we can grow.</w:t>
            </w:r>
          </w:p>
        </w:tc>
        <w:tc>
          <w:tcPr>
            <w:tcW w:type="dxa" w:w="1930"/>
            <w:tcW w:w="1300" w:type="dxa"/>
            <w:shd w:val="clear" w:fill="F4F7F9"/>
          </w:tcPr>
          <w:p>
            <w:pPr>
              <w:spacing w:after="60" w:before="60"/>
            </w:pPr>
            <w:r>
              <w:rPr>
                <w:sz w:val="19"/>
              </w:rPr>
              <w:t>Slides 4–5</w:t>
            </w:r>
          </w:p>
        </w:tc>
      </w:tr>
      <w:tr>
        <w:tc>
          <w:tcPr>
            <w:tcW w:type="dxa" w:w="1930"/>
            <w:tcW w:w="900" w:type="dxa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0:12</w:t>
            </w:r>
          </w:p>
        </w:tc>
        <w:tc>
          <w:tcPr>
            <w:tcW w:type="dxa" w:w="1930"/>
            <w:tcW w:w="800" w:type="dxa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8 min</w:t>
            </w:r>
          </w:p>
        </w:tc>
        <w:tc>
          <w:tcPr>
            <w:tcW w:type="dxa" w:w="1930"/>
            <w:tcW w:w="2200" w:type="dxa"/>
          </w:tcPr>
          <w:p>
            <w:pPr>
              <w:spacing w:after="60" w:before="60"/>
            </w:pPr>
            <w:r>
              <w:rPr>
                <w:b/>
                <w:color w:val="063A5E"/>
                <w:sz w:val="19"/>
              </w:rPr>
              <w:t>The two leads</w:t>
            </w:r>
          </w:p>
        </w:tc>
        <w:tc>
          <w:tcPr>
            <w:tcW w:type="dxa" w:w="1930"/>
            <w:tcW w:w="4200" w:type="dxa"/>
          </w:tcPr>
          <w:p>
            <w:pPr>
              <w:spacing w:after="60" w:before="60"/>
            </w:pPr>
            <w:r>
              <w:rPr>
                <w:sz w:val="18"/>
              </w:rPr>
              <w:t>Clarify Technical-Lead vs. Marketing-Lead ownership using the kickoff meeting as the handshake. Quick poll: which half of a recent pursuit was strongest, which was thin?</w:t>
            </w:r>
          </w:p>
        </w:tc>
        <w:tc>
          <w:tcPr>
            <w:tcW w:type="dxa" w:w="1930"/>
            <w:tcW w:w="1300" w:type="dxa"/>
          </w:tcPr>
          <w:p>
            <w:pPr>
              <w:spacing w:after="60" w:before="60"/>
            </w:pPr>
            <w:r>
              <w:rPr>
                <w:sz w:val="19"/>
              </w:rPr>
              <w:t>Slide 6</w:t>
            </w:r>
          </w:p>
        </w:tc>
      </w:tr>
      <w:tr>
        <w:tc>
          <w:tcPr>
            <w:tcW w:type="dxa" w:w="1930"/>
            <w:tcW w:w="9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0:20</w:t>
            </w:r>
          </w:p>
        </w:tc>
        <w:tc>
          <w:tcPr>
            <w:tcW w:type="dxa" w:w="1930"/>
            <w:tcW w:w="8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15 min</w:t>
            </w:r>
          </w:p>
        </w:tc>
        <w:tc>
          <w:tcPr>
            <w:tcW w:type="dxa" w:w="1930"/>
            <w:tcW w:w="22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63A5E"/>
                <w:sz w:val="19"/>
              </w:rPr>
              <w:t>Skill practice — run the move</w:t>
            </w:r>
          </w:p>
        </w:tc>
        <w:tc>
          <w:tcPr>
            <w:tcW w:type="dxa" w:w="1930"/>
            <w:tcW w:w="4200" w:type="dxa"/>
            <w:shd w:val="clear" w:fill="F4F7F9"/>
          </w:tcPr>
          <w:p>
            <w:pPr>
              <w:spacing w:after="60" w:before="60"/>
            </w:pPr>
            <w:r>
              <w:rPr>
                <w:sz w:val="18"/>
              </w:rPr>
              <w:t>Pairs (Technical + Marketing) role-play the pre-proposal conversation on the mock RFP with a “client.” Use the participants’ drafted questions. Rotate the client role. Surface hidden risk + differentiator.</w:t>
            </w:r>
          </w:p>
        </w:tc>
        <w:tc>
          <w:tcPr>
            <w:tcW w:type="dxa" w:w="1930"/>
            <w:tcW w:w="1300" w:type="dxa"/>
            <w:shd w:val="clear" w:fill="F4F7F9"/>
          </w:tcPr>
          <w:p>
            <w:pPr>
              <w:spacing w:after="60" w:before="60"/>
            </w:pPr>
            <w:r>
              <w:rPr>
                <w:sz w:val="19"/>
              </w:rPr>
              <w:t>Slides 7–8</w:t>
            </w:r>
          </w:p>
        </w:tc>
      </w:tr>
      <w:tr>
        <w:tc>
          <w:tcPr>
            <w:tcW w:type="dxa" w:w="1930"/>
            <w:tcW w:w="900" w:type="dxa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0:35</w:t>
            </w:r>
          </w:p>
        </w:tc>
        <w:tc>
          <w:tcPr>
            <w:tcW w:type="dxa" w:w="1930"/>
            <w:tcW w:w="800" w:type="dxa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8 min</w:t>
            </w:r>
          </w:p>
        </w:tc>
        <w:tc>
          <w:tcPr>
            <w:tcW w:type="dxa" w:w="1930"/>
            <w:tcW w:w="2200" w:type="dxa"/>
          </w:tcPr>
          <w:p>
            <w:pPr>
              <w:spacing w:after="60" w:before="60"/>
            </w:pPr>
            <w:r>
              <w:rPr>
                <w:b/>
                <w:color w:val="063A5E"/>
                <w:sz w:val="19"/>
              </w:rPr>
              <w:t>Close the loop &amp; debrief</w:t>
            </w:r>
          </w:p>
        </w:tc>
        <w:tc>
          <w:tcPr>
            <w:tcW w:type="dxa" w:w="1930"/>
            <w:tcW w:w="4200" w:type="dxa"/>
          </w:tcPr>
          <w:p>
            <w:pPr>
              <w:spacing w:after="60" w:before="60"/>
            </w:pPr>
            <w:r>
              <w:rPr>
                <w:sz w:val="18"/>
              </w:rPr>
              <w:t>Each pair states the value frame in one sentence and what changed because of the conversation. Log the opportunity: clean revenue, honest win probability.</w:t>
            </w:r>
          </w:p>
        </w:tc>
        <w:tc>
          <w:tcPr>
            <w:tcW w:type="dxa" w:w="1930"/>
            <w:tcW w:w="1300" w:type="dxa"/>
          </w:tcPr>
          <w:p>
            <w:pPr>
              <w:spacing w:after="60" w:before="60"/>
            </w:pPr>
            <w:r>
              <w:rPr>
                <w:sz w:val="19"/>
              </w:rPr>
              <w:t>Slide 9</w:t>
            </w:r>
          </w:p>
        </w:tc>
      </w:tr>
      <w:tr>
        <w:tc>
          <w:tcPr>
            <w:tcW w:type="dxa" w:w="1930"/>
            <w:tcW w:w="9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0:43</w:t>
            </w:r>
          </w:p>
        </w:tc>
        <w:tc>
          <w:tcPr>
            <w:tcW w:type="dxa" w:w="1930"/>
            <w:tcW w:w="8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061A0"/>
                <w:sz w:val="19"/>
              </w:rPr>
              <w:t>2 min</w:t>
            </w:r>
          </w:p>
        </w:tc>
        <w:tc>
          <w:tcPr>
            <w:tcW w:type="dxa" w:w="1930"/>
            <w:tcW w:w="2200" w:type="dxa"/>
            <w:shd w:val="clear" w:fill="F4F7F9"/>
          </w:tcPr>
          <w:p>
            <w:pPr>
              <w:spacing w:after="60" w:before="60"/>
            </w:pPr>
            <w:r>
              <w:rPr>
                <w:b/>
                <w:color w:val="063A5E"/>
                <w:sz w:val="19"/>
              </w:rPr>
              <w:t>Close Module 1 &amp; bridge</w:t>
            </w:r>
          </w:p>
        </w:tc>
        <w:tc>
          <w:tcPr>
            <w:tcW w:type="dxa" w:w="1930"/>
            <w:tcW w:w="4200" w:type="dxa"/>
            <w:shd w:val="clear" w:fill="F4F7F9"/>
          </w:tcPr>
          <w:p>
            <w:pPr>
              <w:spacing w:after="60" w:before="60"/>
            </w:pPr>
            <w:r>
              <w:rPr>
                <w:sz w:val="18"/>
              </w:rPr>
              <w:t>Restate the full pursuit arc. Pose the challenge question. Bridge: this pursuit becomes the scope in Module 2.</w:t>
            </w:r>
          </w:p>
        </w:tc>
        <w:tc>
          <w:tcPr>
            <w:tcW w:type="dxa" w:w="1930"/>
            <w:tcW w:w="1300" w:type="dxa"/>
            <w:shd w:val="clear" w:fill="F4F7F9"/>
          </w:tcPr>
          <w:p>
            <w:pPr>
              <w:spacing w:after="60" w:before="60"/>
            </w:pPr>
            <w:r>
              <w:rPr>
                <w:sz w:val="19"/>
              </w:rPr>
              <w:t>Slide 10</w:t>
            </w:r>
          </w:p>
        </w:tc>
      </w:tr>
    </w:tbl>
    <w:p>
      <w:pPr>
        <w:keepNext/>
        <w:spacing w:before="280" w:after="80"/>
      </w:pPr>
      <w:r>
        <w:rPr>
          <w:b/>
          <w:color w:val="6FA000"/>
          <w:sz w:val="26"/>
        </w:rPr>
        <w:t xml:space="preserve">4  </w:t>
      </w:r>
      <w:r>
        <w:rPr>
          <w:b/>
          <w:color w:val="063A5E"/>
          <w:sz w:val="26"/>
        </w:rPr>
        <w:t>Facilitator notes by segment</w:t>
      </w:r>
    </w:p>
    <w:p>
      <w:pPr>
        <w:spacing w:after="40" w:before="120" w:line="300" w:lineRule="auto"/>
      </w:pPr>
      <w:r>
        <w:rPr>
          <w:b/>
          <w:i w:val="0"/>
          <w:color w:val="063A5E"/>
          <w:sz w:val="22"/>
        </w:rPr>
        <w:t>Cold open (0:00)</w:t>
      </w:r>
    </w:p>
    <w:p>
      <w:pPr>
        <w:spacing w:after="40"/>
      </w:pPr>
      <w:r>
        <w:rPr>
          <w:b/>
          <w:color w:val="6FA000"/>
          <w:sz w:val="20"/>
        </w:rPr>
        <w:t xml:space="preserve">Say / ask: </w:t>
      </w:r>
      <w:r>
        <w:rPr>
          <w:i/>
          <w:sz w:val="20"/>
        </w:rPr>
        <w:t>“When we lose on price, did the client ever really understand what they were buying?”</w:t>
      </w:r>
    </w:p>
    <w:p>
      <w:pPr>
        <w:spacing w:after="120"/>
      </w:pPr>
      <w:r>
        <w:rPr>
          <w:b/>
          <w:color w:val="0061A0"/>
          <w:sz w:val="20"/>
        </w:rPr>
        <w:t xml:space="preserve">Watch for: </w:t>
      </w:r>
      <w:r>
        <w:rPr>
          <w:sz w:val="20"/>
        </w:rPr>
        <w:t>War stories that drift. Keep it tight — the point is that the value conversation never happened, not that the client was wrong.</w:t>
      </w:r>
    </w:p>
    <w:p>
      <w:pPr>
        <w:spacing w:after="40" w:before="120" w:line="300" w:lineRule="auto"/>
      </w:pPr>
      <w:r>
        <w:rPr>
          <w:b/>
          <w:i w:val="0"/>
          <w:color w:val="063A5E"/>
          <w:sz w:val="22"/>
        </w:rPr>
        <w:t>Price · cost · value (0:05)</w:t>
      </w:r>
    </w:p>
    <w:p>
      <w:pPr>
        <w:spacing w:after="40"/>
      </w:pPr>
      <w:r>
        <w:rPr>
          <w:b/>
          <w:color w:val="6FA000"/>
          <w:sz w:val="20"/>
        </w:rPr>
        <w:t xml:space="preserve">Say / ask: </w:t>
      </w:r>
      <w:r>
        <w:rPr>
          <w:i/>
          <w:sz w:val="20"/>
        </w:rPr>
        <w:t>“Which of these three can we actually grow — and which is just a comparison the client runs?”</w:t>
      </w:r>
    </w:p>
    <w:p>
      <w:pPr>
        <w:spacing w:after="120"/>
      </w:pPr>
      <w:r>
        <w:rPr>
          <w:b/>
          <w:color w:val="0061A0"/>
          <w:sz w:val="20"/>
        </w:rPr>
        <w:t xml:space="preserve">Watch for: </w:t>
      </w:r>
      <w:r>
        <w:rPr>
          <w:sz w:val="20"/>
        </w:rPr>
        <w:t>Conflating cost and price. Reinforce cost as the floor (Week 1 rates) and value as the lever. Let the group place the mock RFP on the line (Law 2 — their own data).</w:t>
      </w:r>
    </w:p>
    <w:p>
      <w:pPr>
        <w:spacing w:after="40" w:before="120" w:line="300" w:lineRule="auto"/>
      </w:pPr>
      <w:r>
        <w:rPr>
          <w:b/>
          <w:i w:val="0"/>
          <w:color w:val="063A5E"/>
          <w:sz w:val="22"/>
        </w:rPr>
        <w:t>The two leads (0:12)</w:t>
      </w:r>
    </w:p>
    <w:p>
      <w:pPr>
        <w:spacing w:after="40"/>
      </w:pPr>
      <w:r>
        <w:rPr>
          <w:b/>
          <w:color w:val="6FA000"/>
          <w:sz w:val="20"/>
        </w:rPr>
        <w:t xml:space="preserve">Say / ask: </w:t>
      </w:r>
      <w:r>
        <w:rPr>
          <w:i/>
          <w:sz w:val="20"/>
        </w:rPr>
        <w:t>“In your last pursuit, which was stronger — the technical substance or the packaging? Where did the value story live?”</w:t>
      </w:r>
    </w:p>
    <w:p>
      <w:pPr>
        <w:spacing w:after="120"/>
      </w:pPr>
      <w:r>
        <w:rPr>
          <w:b/>
          <w:color w:val="0061A0"/>
          <w:sz w:val="20"/>
        </w:rPr>
        <w:t xml:space="preserve">Watch for: </w:t>
      </w:r>
      <w:r>
        <w:rPr>
          <w:sz w:val="20"/>
        </w:rPr>
        <w:t>A belief that the Technical Lead does everything. Reinforce delegation and the kickoff handshake. Value is mostly the Technical Lead’s to initiate, but it’s a team sell.</w:t>
      </w:r>
    </w:p>
    <w:p>
      <w:pPr>
        <w:spacing w:after="40" w:before="120" w:line="300" w:lineRule="auto"/>
      </w:pPr>
      <w:r>
        <w:rPr>
          <w:b/>
          <w:i w:val="0"/>
          <w:color w:val="063A5E"/>
          <w:sz w:val="22"/>
        </w:rPr>
        <w:t>Skill practice — run the move (0:20)</w:t>
      </w:r>
    </w:p>
    <w:p>
      <w:pPr>
        <w:spacing w:after="40"/>
      </w:pPr>
      <w:r>
        <w:rPr>
          <w:b/>
          <w:color w:val="6FA000"/>
          <w:sz w:val="20"/>
        </w:rPr>
        <w:t xml:space="preserve">Say / ask: </w:t>
      </w:r>
      <w:r>
        <w:rPr>
          <w:i/>
          <w:sz w:val="20"/>
        </w:rPr>
        <w:t>“Ask the outcome question first. What does success look like a year after this is done?”</w:t>
      </w:r>
    </w:p>
    <w:p>
      <w:pPr>
        <w:spacing w:after="120"/>
      </w:pPr>
      <w:r>
        <w:rPr>
          <w:b/>
          <w:color w:val="0061A0"/>
          <w:sz w:val="20"/>
        </w:rPr>
        <w:t xml:space="preserve">Watch for: </w:t>
      </w:r>
      <w:r>
        <w:rPr>
          <w:sz w:val="20"/>
        </w:rPr>
        <w:t>Jumping to our solution before hearing the client. Coach toward listening for the hidden risk and the differentiator. This is the behavior-change rep (Law 4) — protect the time for it.</w:t>
      </w:r>
    </w:p>
    <w:p>
      <w:pPr>
        <w:spacing w:after="40" w:before="120" w:line="300" w:lineRule="auto"/>
      </w:pPr>
      <w:r>
        <w:rPr>
          <w:b/>
          <w:i w:val="0"/>
          <w:color w:val="063A5E"/>
          <w:sz w:val="22"/>
        </w:rPr>
        <w:t>Close the loop (0:35)</w:t>
      </w:r>
    </w:p>
    <w:p>
      <w:pPr>
        <w:spacing w:after="40"/>
      </w:pPr>
      <w:r>
        <w:rPr>
          <w:b/>
          <w:color w:val="6FA000"/>
          <w:sz w:val="20"/>
        </w:rPr>
        <w:t xml:space="preserve">Say / ask: </w:t>
      </w:r>
      <w:r>
        <w:rPr>
          <w:i/>
          <w:sz w:val="20"/>
        </w:rPr>
        <w:t>“What changed because of that conversation — and what win probability would you log now?”</w:t>
      </w:r>
    </w:p>
    <w:p>
      <w:pPr>
        <w:spacing w:after="120"/>
      </w:pPr>
      <w:r>
        <w:rPr>
          <w:b/>
          <w:color w:val="0061A0"/>
          <w:sz w:val="20"/>
        </w:rPr>
        <w:t xml:space="preserve">Watch for: </w:t>
      </w:r>
      <w:r>
        <w:rPr>
          <w:sz w:val="20"/>
        </w:rPr>
        <w:t>Value frames that are still about scope. Push for an outcome sentence. Tie back to honest logging from Week 3.</w:t>
      </w:r>
    </w:p>
    <w:p>
      <w:pPr>
        <w:keepNext/>
        <w:spacing w:before="280" w:after="80"/>
      </w:pPr>
      <w:r>
        <w:rPr>
          <w:b/>
          <w:color w:val="6FA000"/>
          <w:sz w:val="26"/>
        </w:rPr>
        <w:t xml:space="preserve">5  </w:t>
      </w:r>
      <w:r>
        <w:rPr>
          <w:b/>
          <w:color w:val="063A5E"/>
          <w:sz w:val="26"/>
        </w:rPr>
        <w:t>Anticipated pushback &amp; responses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W w:w="3700" w:type="dxa"/>
            <w:shd w:val="clear" w:fill="3E5C76"/>
          </w:tcPr>
          <w:p>
            <w:r>
              <w:rPr>
                <w:b/>
                <w:color w:val="FFFFFF"/>
                <w:sz w:val="20"/>
              </w:rPr>
              <w:t>You’ll hear…</w:t>
            </w:r>
          </w:p>
        </w:tc>
        <w:tc>
          <w:tcPr>
            <w:tcW w:type="dxa" w:w="4824"/>
            <w:tcW w:w="5700" w:type="dxa"/>
            <w:shd w:val="clear" w:fill="3E5C76"/>
          </w:tcPr>
          <w:p>
            <w:r>
              <w:rPr>
                <w:b/>
                <w:color w:val="FFFFFF"/>
                <w:sz w:val="20"/>
              </w:rPr>
              <w:t>Respond with…</w:t>
            </w:r>
          </w:p>
        </w:tc>
      </w:tr>
      <w:tr>
        <w:tc>
          <w:tcPr>
            <w:tcW w:type="dxa" w:w="4824"/>
            <w:tcW w:w="3700" w:type="dxa"/>
          </w:tcPr>
          <w:p>
            <w:r>
              <w:rPr>
                <w:i/>
                <w:color w:val="063A5E"/>
                <w:sz w:val="19"/>
              </w:rPr>
              <w:t>“The client only cares about price.”</w:t>
            </w:r>
          </w:p>
        </w:tc>
        <w:tc>
          <w:tcPr>
            <w:tcW w:type="dxa" w:w="4824"/>
            <w:tcW w:w="5700" w:type="dxa"/>
          </w:tcPr>
          <w:p>
            <w:r>
              <w:rPr>
                <w:sz w:val="19"/>
              </w:rPr>
              <w:t>Often that’s because price is the only thing we gave them to care about. The move surfaces what else matters — before the proposal makes price the whole story.</w:t>
            </w:r>
          </w:p>
        </w:tc>
      </w:tr>
      <w:tr>
        <w:tc>
          <w:tcPr>
            <w:tcW w:type="dxa" w:w="4824"/>
            <w:tcW w:w="3700" w:type="dxa"/>
            <w:shd w:val="clear" w:fill="F4F7F9"/>
          </w:tcPr>
          <w:p>
            <w:r>
              <w:rPr>
                <w:i/>
                <w:color w:val="063A5E"/>
                <w:sz w:val="19"/>
              </w:rPr>
              <w:t>“There’s no time for a pre-proposal call.”</w:t>
            </w:r>
          </w:p>
        </w:tc>
        <w:tc>
          <w:tcPr>
            <w:tcW w:type="dxa" w:w="4824"/>
            <w:tcW w:w="5700" w:type="dxa"/>
            <w:shd w:val="clear" w:fill="F4F7F9"/>
          </w:tcPr>
          <w:p>
            <w:r>
              <w:rPr>
                <w:sz w:val="19"/>
              </w:rPr>
              <w:t>It’s 20 minutes that can decide a six-figure pursuit. Compare it to the ~35 hours we’ll spend writing the proposal either way.</w:t>
            </w:r>
          </w:p>
        </w:tc>
      </w:tr>
      <w:tr>
        <w:tc>
          <w:tcPr>
            <w:tcW w:type="dxa" w:w="4824"/>
            <w:tcW w:w="3700" w:type="dxa"/>
          </w:tcPr>
          <w:p>
            <w:r>
              <w:rPr>
                <w:i/>
                <w:color w:val="063A5E"/>
                <w:sz w:val="19"/>
              </w:rPr>
              <w:t>“Public RFPs forbid contact.”</w:t>
            </w:r>
          </w:p>
        </w:tc>
        <w:tc>
          <w:tcPr>
            <w:tcW w:type="dxa" w:w="4824"/>
            <w:tcW w:w="5700" w:type="dxa"/>
          </w:tcPr>
          <w:p>
            <w:r>
              <w:rPr>
                <w:sz w:val="19"/>
              </w:rPr>
              <w:t>Many do limit contact — know the rules. But pre-bid meetings, RFIs, and prior relationships are legitimate channels. The move adapts; it doesn’t disappear.</w:t>
            </w:r>
          </w:p>
        </w:tc>
      </w:tr>
      <w:tr>
        <w:tc>
          <w:tcPr>
            <w:tcW w:type="dxa" w:w="4824"/>
            <w:tcW w:w="3700" w:type="dxa"/>
            <w:shd w:val="clear" w:fill="F4F7F9"/>
          </w:tcPr>
          <w:p>
            <w:r>
              <w:rPr>
                <w:i/>
                <w:color w:val="063A5E"/>
                <w:sz w:val="19"/>
              </w:rPr>
              <w:t>“Isn’t this Marketing’s job?”</w:t>
            </w:r>
          </w:p>
        </w:tc>
        <w:tc>
          <w:tcPr>
            <w:tcW w:type="dxa" w:w="4824"/>
            <w:tcW w:w="5700" w:type="dxa"/>
            <w:shd w:val="clear" w:fill="F4F7F9"/>
          </w:tcPr>
          <w:p>
            <w:r>
              <w:rPr>
                <w:sz w:val="19"/>
              </w:rPr>
              <w:t>Packaging is Marketing’s. The value story is technical — it’s the Technical Lead who knows what outcome we can deliver that a low bidder can’t.</w:t>
            </w:r>
          </w:p>
        </w:tc>
      </w:tr>
    </w:tbl>
    <w:p>
      <w:r>
        <w:br/>
      </w:r>
    </w:p>
    <w:p>
      <w:pPr>
        <w:keepNext/>
        <w:spacing w:before="280" w:after="80"/>
      </w:pPr>
      <w:r>
        <w:rPr>
          <w:b/>
          <w:color w:val="6FA000"/>
          <w:sz w:val="26"/>
        </w:rPr>
        <w:t xml:space="preserve">6  </w:t>
      </w:r>
      <w:r>
        <w:rPr>
          <w:b/>
          <w:color w:val="063A5E"/>
          <w:sz w:val="26"/>
        </w:rPr>
        <w:t>Exercise sheet — the mock RFP role-play (facilitator copy)</w:t>
      </w:r>
    </w:p>
    <w:p>
      <w:pPr>
        <w:spacing w:after="160" w:before="0" w:line="300" w:lineRule="auto"/>
      </w:pPr>
      <w:r>
        <w:rPr>
          <w:b w:val="0"/>
          <w:i/>
          <w:color w:val="5C7180"/>
          <w:sz w:val="20"/>
        </w:rPr>
        <w:t>Distribute the sanitized mock RFP before the session. Replace bracketed items with the real sanitized RFP from WSE. Below are the role-play setup and the debrief targets.</w:t>
      </w:r>
    </w:p>
    <w:p>
      <w:pPr>
        <w:spacing w:after="60" w:before="0" w:line="300" w:lineRule="auto"/>
      </w:pPr>
      <w:r>
        <w:rPr>
          <w:b/>
          <w:i w:val="0"/>
          <w:color w:val="063A5E"/>
          <w:sz w:val="22"/>
        </w:rPr>
        <w:t>Exercise A — Carry the lead (pre-work)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Go/No-Go. </w:t>
      </w:r>
      <w:r>
        <w:rPr>
          <w:color w:val="15242E"/>
          <w:sz w:val="21"/>
        </w:rPr>
        <w:t>Would this pass? Where does it score, and does it clear a hard gate?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Forecast. </w:t>
      </w:r>
      <w:r>
        <w:rPr>
          <w:color w:val="15242E"/>
          <w:sz w:val="21"/>
        </w:rPr>
        <w:t>Honest revenue, effort, and win probability.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Value frame. </w:t>
      </w:r>
      <w:r>
        <w:rPr>
          <w:color w:val="15242E"/>
          <w:sz w:val="21"/>
        </w:rPr>
        <w:t>One sentence: the outcome this client really cares about.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Two questions. </w:t>
      </w:r>
      <w:r>
        <w:rPr>
          <w:color w:val="15242E"/>
          <w:sz w:val="21"/>
        </w:rPr>
        <w:t>Drafted pre-proposal questions that surface that value.</w:t>
      </w:r>
    </w:p>
    <w:p>
      <w:pPr>
        <w:spacing w:after="60" w:before="0" w:line="300" w:lineRule="auto"/>
      </w:pPr>
      <w:r>
        <w:rPr>
          <w:b/>
          <w:i w:val="0"/>
          <w:color w:val="063A5E"/>
          <w:sz w:val="22"/>
        </w:rPr>
        <w:t>Exercise B — Run the move (pairs, live)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Roles. </w:t>
      </w:r>
      <w:r>
        <w:rPr>
          <w:color w:val="15242E"/>
          <w:sz w:val="21"/>
        </w:rPr>
        <w:t>One Technical Lead, one Marketing Lead; facilitator or volunteer plays the client.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Goal. </w:t>
      </w:r>
      <w:r>
        <w:rPr>
          <w:color w:val="15242E"/>
          <w:sz w:val="21"/>
        </w:rPr>
        <w:t>In ~5 minutes, surface the hidden risk and the differentiator using the outcome question first.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Rotate. </w:t>
      </w:r>
      <w:r>
        <w:rPr>
          <w:color w:val="15242E"/>
          <w:sz w:val="21"/>
        </w:rPr>
        <w:t>Swap the client role so each pair runs the move at least once.</w:t>
      </w:r>
    </w:p>
    <w:p>
      <w:pPr>
        <w:spacing w:after="60" w:before="0" w:line="300" w:lineRule="auto"/>
      </w:pPr>
      <w:r>
        <w:rPr>
          <w:b/>
          <w:i w:val="0"/>
          <w:color w:val="063A5E"/>
          <w:sz w:val="22"/>
        </w:rPr>
        <w:t>Debrief targets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A strong value frame </w:t>
      </w:r>
      <w:r>
        <w:rPr>
          <w:color w:val="15242E"/>
          <w:sz w:val="21"/>
        </w:rPr>
        <w:t>names an outcome (risk avoided, time saved), not a deliverable.</w:t>
      </w:r>
    </w:p>
    <w:p>
      <w:pPr>
        <w:pStyle w:val="ListBullet"/>
        <w:spacing w:after="60" w:line="288" w:lineRule="auto"/>
      </w:pPr>
      <w:r>
        <w:rPr>
          <w:b/>
          <w:color w:val="063A5E"/>
          <w:sz w:val="21"/>
        </w:rPr>
        <w:t xml:space="preserve">A strong move </w:t>
      </w:r>
      <w:r>
        <w:rPr>
          <w:color w:val="15242E"/>
          <w:sz w:val="21"/>
        </w:rPr>
        <w:t>changed what the proposal will emphasize — and, honestly, the win probability.</w:t>
      </w:r>
    </w:p>
    <w:p>
      <w:pPr>
        <w:spacing w:after="80" w:before="40"/>
        <w:pBdr>
          <w:bottom w:val="single" w:sz="8" w:space="1" w:color="E01838"/>
        </w:pBdr>
      </w:pPr>
    </w:p>
    <w:p>
      <w:pPr>
        <w:spacing w:after="0" w:before="0" w:line="300" w:lineRule="auto"/>
      </w:pPr>
      <w:r>
        <w:rPr>
          <w:b w:val="0"/>
          <w:i/>
          <w:color w:val="5C7180"/>
          <w:sz w:val="17"/>
        </w:rPr>
        <w:t>Weston &amp; Sampson · Project Management · Module 1, Week 4 — Facilitator Guide</w:t>
      </w:r>
    </w:p>
    <w:p>
      <w:pPr>
        <w:spacing w:after="120" w:before="0" w:line="300" w:lineRule="auto"/>
      </w:pPr>
      <w:r>
        <w:rPr>
          <w:b w:val="0"/>
          <w:i/>
          <w:color w:val="5C7180"/>
          <w:sz w:val="17"/>
        </w:rPr>
        <w:t>Designed &amp; facilitated by AEC LEAD LLC · Produced with Zweig Group · Draft 1, June 2026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524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