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ook w:firstColumn="1" w:firstRow="1" w:lastColumn="0" w:lastRow="0" w:noHBand="0" w:noVBand="1" w:val="04A0"/>
        <w:tblBorders>
          <w:top w:val="none"/>
          <w:left w:val="none"/>
          <w:bottom w:val="none"/>
          <w:right w:val="none"/>
          <w:insideH w:val="none"/>
          <w:insideV w:val="none"/>
        </w:tblBorders>
      </w:tblPr>
      <w:tblGrid>
        <w:gridCol w:w="6624"/>
        <w:gridCol w:w="3024"/>
      </w:tblGrid>
      <w:tr>
        <w:tc>
          <w:tcPr>
            <w:tcW w:type="dxa" w:w="4824"/>
          </w:tcPr>
          <w:p>
            <w:r/>
            <w:r>
              <w:rPr>
                <w:b/>
                <w:color w:val="5C7180"/>
                <w:sz w:val="18"/>
              </w:rPr>
              <w:t>THE WESTON &amp; SAMPSON WAY OF PROJECT MANAGEMENT</w:t>
            </w:r>
          </w:p>
        </w:tc>
        <w:tc>
          <w:tcPr>
            <w:tcW w:type="dxa" w:w="4824"/>
          </w:tcPr>
          <w:p>
            <w:pPr>
              <w:jc w:val="right"/>
            </w:pPr>
            <w:r>
              <w:drawing>
                <wp:inline xmlns:a="http://schemas.openxmlformats.org/drawingml/2006/main" xmlns:pic="http://schemas.openxmlformats.org/drawingml/2006/picture">
                  <wp:extent cx="1371600" cy="241328"/>
                  <wp:docPr id="1" name="Picture 1"/>
                  <wp:cNvGraphicFramePr>
                    <a:graphicFrameLocks noChangeAspect="1"/>
                  </wp:cNvGraphicFramePr>
                  <a:graphic>
                    <a:graphicData uri="http://schemas.openxmlformats.org/drawingml/2006/picture">
                      <pic:pic>
                        <pic:nvPicPr>
                          <pic:cNvPr id="0" name="weston-sampson-logo.png"/>
                          <pic:cNvPicPr/>
                        </pic:nvPicPr>
                        <pic:blipFill>
                          <a:blip r:embed="rId9"/>
                          <a:stretch>
                            <a:fillRect/>
                          </a:stretch>
                        </pic:blipFill>
                        <pic:spPr>
                          <a:xfrm>
                            <a:off x="0" y="0"/>
                            <a:ext cx="1371600" cy="241328"/>
                          </a:xfrm>
                          <a:prstGeom prst="rect"/>
                        </pic:spPr>
                      </pic:pic>
                    </a:graphicData>
                  </a:graphic>
                </wp:inline>
              </w:drawing>
            </w:r>
          </w:p>
        </w:tc>
      </w:tr>
    </w:tbl>
    <w:p>
      <w:pPr>
        <w:spacing w:after="80" w:before="40"/>
        <w:pBdr>
          <w:bottom w:val="single" w:sz="12" w:space="1" w:color="E01838"/>
        </w:pBdr>
      </w:pPr>
    </w:p>
    <w:p>
      <w:pPr>
        <w:spacing w:after="0" w:before="0" w:line="300" w:lineRule="auto"/>
      </w:pPr>
      <w:r>
        <w:rPr>
          <w:b/>
          <w:i w:val="0"/>
          <w:color w:val="0061A0"/>
          <w:sz w:val="22"/>
        </w:rPr>
        <w:t>Module 1 · Project Pursuit</w:t>
      </w:r>
    </w:p>
    <w:p>
      <w:pPr>
        <w:spacing w:after="40" w:before="0" w:line="252" w:lineRule="auto"/>
      </w:pPr>
      <w:r>
        <w:rPr>
          <w:b/>
          <w:i w:val="0"/>
          <w:color w:val="063A5E"/>
          <w:sz w:val="40"/>
        </w:rPr>
        <w:t>Week 2 — The Go/No-Go Decision</w:t>
      </w:r>
    </w:p>
    <w:p>
      <w:pPr>
        <w:spacing w:after="40" w:before="0" w:line="300" w:lineRule="auto"/>
      </w:pPr>
      <w:r>
        <w:rPr>
          <w:b w:val="0"/>
          <w:i w:val="0"/>
          <w:color w:val="5C7180"/>
          <w:sz w:val="23"/>
        </w:rPr>
        <w:t>Facilitator Guide · Live Virtual Session (45 minutes)</w:t>
      </w:r>
    </w:p>
    <w:p>
      <w:pPr>
        <w:spacing w:after="160" w:before="0" w:line="300" w:lineRule="auto"/>
      </w:pPr>
      <w:r>
        <w:rPr>
          <w:b w:val="0"/>
          <w:i/>
          <w:color w:val="5C7180"/>
          <w:sz w:val="18"/>
        </w:rPr>
        <w:t>Designed &amp; facilitated by AEC LEAD LLC  ·  Produced with Zweig Group</w:t>
      </w:r>
    </w:p>
    <w:tbl>
      <w:tblPr>
        <w:tblW w:type="auto" w:w="0"/>
        <w:jc w:val="center"/>
        <w:tblLook w:firstColumn="1" w:firstRow="1" w:lastColumn="0" w:lastRow="0" w:noHBand="0" w:noVBand="1" w:val="04A0"/>
        <w:tblBorders>
          <w:top w:val="none"/>
          <w:left w:val="none"/>
          <w:bottom w:val="none"/>
          <w:right w:val="none"/>
          <w:insideH w:val="none"/>
          <w:insideV w:val="none"/>
        </w:tblBorders>
      </w:tblPr>
      <w:tblGrid>
        <w:gridCol w:w="9648"/>
      </w:tblGrid>
      <w:tr>
        <w:tc>
          <w:tcPr>
            <w:tcW w:type="dxa" w:w="9648"/>
            <w:tcW w:w="9400" w:type="dxa"/>
            <w:shd w:val="clear" w:fill="EAF2F7"/>
          </w:tcPr>
          <w:p>
            <w:pPr>
              <w:spacing w:before="120" w:after="120"/>
            </w:pPr>
            <w:r>
              <w:rPr>
                <w:b/>
                <w:color w:val="6FA000"/>
                <w:sz w:val="18"/>
              </w:rPr>
              <w:t xml:space="preserve">THE ONE IDEA   </w:t>
            </w:r>
            <w:r>
              <w:rPr>
                <w:b/>
                <w:color w:val="063A5E"/>
                <w:sz w:val="23"/>
              </w:rPr>
              <w:t xml:space="preserve"> Every pursuit is a bet on a forecast. The Go/No-Go is where we decide which bets to place and how to price them — protecting the hours we’d spend, the trust the firm places in its own backlog, and the margin the price should carry.</w:t>
            </w:r>
          </w:p>
        </w:tc>
      </w:tr>
    </w:tbl>
    <w:p>
      <w:pPr>
        <w:spacing w:after="40"/>
      </w:pPr>
    </w:p>
    <w:p>
      <w:pPr>
        <w:keepNext/>
        <w:spacing w:before="280" w:after="80"/>
      </w:pPr>
      <w:r>
        <w:rPr>
          <w:b/>
          <w:color w:val="6FA000"/>
          <w:sz w:val="26"/>
        </w:rPr>
        <w:t xml:space="preserve">1  </w:t>
      </w:r>
      <w:r>
        <w:rPr>
          <w:b/>
          <w:color w:val="063A5E"/>
          <w:sz w:val="26"/>
        </w:rPr>
        <w:t>Session at a glance</w:t>
      </w:r>
    </w:p>
    <w:tbl>
      <w:tblPr>
        <w:tblW w:type="auto" w:w="0"/>
        <w:jc w:val="center"/>
        <w:tblLook w:firstColumn="1" w:firstRow="1" w:lastColumn="0" w:lastRow="0" w:noHBand="0" w:noVBand="1" w:val="04A0"/>
        <w:tblBorders>
          <w:top w:val="none"/>
          <w:left w:val="none"/>
          <w:bottom w:val="none"/>
          <w:right w:val="none"/>
          <w:insideH w:val="none"/>
          <w:insideV w:val="none"/>
        </w:tblBorders>
      </w:tblPr>
      <w:tblGrid>
        <w:gridCol w:w="4824"/>
        <w:gridCol w:w="4824"/>
      </w:tblGrid>
      <w:tr>
        <w:tc>
          <w:tcPr>
            <w:tcW w:type="dxa" w:w="4824"/>
            <w:tcW w:w="2300" w:type="dxa"/>
          </w:tcPr>
          <w:p>
            <w:pPr>
              <w:spacing w:after="80" w:before="80"/>
            </w:pPr>
            <w:r>
              <w:rPr>
                <w:b/>
                <w:color w:val="063A5E"/>
                <w:sz w:val="20"/>
              </w:rPr>
              <w:t>Format</w:t>
            </w:r>
          </w:p>
        </w:tc>
        <w:tc>
          <w:tcPr>
            <w:tcW w:type="dxa" w:w="4824"/>
            <w:tcW w:w="7100" w:type="dxa"/>
          </w:tcPr>
          <w:p>
            <w:pPr>
              <w:spacing w:after="80" w:before="80"/>
            </w:pPr>
            <w:r>
              <w:rPr>
                <w:color w:val="15242E"/>
                <w:sz w:val="20"/>
              </w:rPr>
              <w:t>Live virtual (Teams/Zoom). Cameras on. 8–20 participants ideal; use breakout rooms.</w:t>
            </w:r>
          </w:p>
        </w:tc>
      </w:tr>
      <w:tr>
        <w:tc>
          <w:tcPr>
            <w:tcW w:type="dxa" w:w="4824"/>
            <w:tcW w:w="2300" w:type="dxa"/>
            <w:shd w:val="clear" w:fill="F4F7F9"/>
          </w:tcPr>
          <w:p>
            <w:pPr>
              <w:spacing w:after="80" w:before="80"/>
            </w:pPr>
            <w:r>
              <w:rPr>
                <w:b/>
                <w:color w:val="063A5E"/>
                <w:sz w:val="20"/>
              </w:rPr>
              <w:t>Length</w:t>
            </w:r>
          </w:p>
        </w:tc>
        <w:tc>
          <w:tcPr>
            <w:tcW w:type="dxa" w:w="4824"/>
            <w:tcW w:w="7100" w:type="dxa"/>
            <w:shd w:val="clear" w:fill="F4F7F9"/>
          </w:tcPr>
          <w:p>
            <w:pPr>
              <w:spacing w:after="80" w:before="80"/>
            </w:pPr>
            <w:r>
              <w:rPr>
                <w:color w:val="15242E"/>
                <w:sz w:val="20"/>
              </w:rPr>
              <w:t>45 minutes, chunked so something interactive happens every ~8 minutes (Pike 90/20/8).</w:t>
            </w:r>
          </w:p>
        </w:tc>
      </w:tr>
      <w:tr>
        <w:tc>
          <w:tcPr>
            <w:tcW w:type="dxa" w:w="4824"/>
            <w:tcW w:w="2300" w:type="dxa"/>
          </w:tcPr>
          <w:p>
            <w:pPr>
              <w:spacing w:after="80" w:before="80"/>
            </w:pPr>
            <w:r>
              <w:rPr>
                <w:b/>
                <w:color w:val="063A5E"/>
                <w:sz w:val="20"/>
              </w:rPr>
              <w:t>Pre-work (required)</w:t>
            </w:r>
          </w:p>
        </w:tc>
        <w:tc>
          <w:tcPr>
            <w:tcW w:type="dxa" w:w="4824"/>
            <w:tcW w:w="7100" w:type="dxa"/>
          </w:tcPr>
          <w:p>
            <w:pPr>
              <w:spacing w:after="80" w:before="80"/>
            </w:pPr>
            <w:r>
              <w:rPr>
                <w:color w:val="15242E"/>
                <w:sz w:val="20"/>
              </w:rPr>
              <w:t>Learners have read the Week 2 module and worked the shared sanitized lead through the interactive Go/No-Go Worksheet. They arrive with a read (strengths vs. open questions), a named pursuit type, a quick value read, an estimated net revenue, and an honest win probability.</w:t>
            </w:r>
          </w:p>
        </w:tc>
      </w:tr>
      <w:tr>
        <w:tc>
          <w:tcPr>
            <w:tcW w:type="dxa" w:w="4824"/>
            <w:tcW w:w="2300" w:type="dxa"/>
            <w:shd w:val="clear" w:fill="F4F7F9"/>
          </w:tcPr>
          <w:p>
            <w:pPr>
              <w:spacing w:after="80" w:before="80"/>
            </w:pPr>
            <w:r>
              <w:rPr>
                <w:b/>
                <w:color w:val="063A5E"/>
                <w:sz w:val="20"/>
              </w:rPr>
              <w:t>You will need</w:t>
            </w:r>
          </w:p>
        </w:tc>
        <w:tc>
          <w:tcPr>
            <w:tcW w:type="dxa" w:w="4824"/>
            <w:tcW w:w="7100" w:type="dxa"/>
            <w:shd w:val="clear" w:fill="F4F7F9"/>
          </w:tcPr>
          <w:p>
            <w:pPr>
              <w:spacing w:after="80" w:before="80"/>
            </w:pPr>
            <w:r>
              <w:rPr>
                <w:color w:val="15242E"/>
                <w:sz w:val="20"/>
              </w:rPr>
              <w:t>The shared sanitized lead + RFP excerpt; the Go/No-Go Worksheet open and screen-shareable; the slide deck; a whiteboard/poll tool; breakout rooms configured.</w:t>
            </w:r>
          </w:p>
        </w:tc>
      </w:tr>
      <w:tr>
        <w:tc>
          <w:tcPr>
            <w:tcW w:type="dxa" w:w="4824"/>
            <w:tcW w:w="2300" w:type="dxa"/>
          </w:tcPr>
          <w:p>
            <w:pPr>
              <w:spacing w:after="80" w:before="80"/>
            </w:pPr>
            <w:r>
              <w:rPr>
                <w:b/>
                <w:color w:val="063A5E"/>
                <w:sz w:val="20"/>
              </w:rPr>
              <w:t>Outcome</w:t>
            </w:r>
          </w:p>
        </w:tc>
        <w:tc>
          <w:tcPr>
            <w:tcW w:type="dxa" w:w="4824"/>
            <w:tcW w:w="7100" w:type="dxa"/>
          </w:tcPr>
          <w:p>
            <w:pPr>
              <w:spacing w:after="80" w:before="80"/>
            </w:pPr>
            <w:r>
              <w:rPr>
                <w:color w:val="15242E"/>
                <w:sz w:val="20"/>
              </w:rPr>
              <w:t>Each participant can run the Go/No-Go honestly, defend a win probability out loud, price a pursuit to the value it carries, and say "No-Go" to tempting work without flinching.</w:t>
            </w:r>
          </w:p>
        </w:tc>
      </w:tr>
    </w:tbl>
    <w:p>
      <w:pPr>
        <w:keepNext/>
        <w:spacing w:before="280" w:after="80"/>
      </w:pPr>
      <w:r>
        <w:rPr>
          <w:b/>
          <w:color w:val="6FA000"/>
          <w:sz w:val="26"/>
        </w:rPr>
        <w:t xml:space="preserve">2  </w:t>
      </w:r>
      <w:r>
        <w:rPr>
          <w:b/>
          <w:color w:val="063A5E"/>
          <w:sz w:val="26"/>
        </w:rPr>
        <w:t>What participants will be able to do</w:t>
      </w:r>
    </w:p>
    <w:p>
      <w:pPr>
        <w:pStyle w:val="ListBullet"/>
        <w:spacing w:after="60" w:line="288" w:lineRule="auto"/>
      </w:pPr>
      <w:r>
        <w:rPr>
          <w:b/>
          <w:color w:val="063A5E"/>
          <w:sz w:val="21"/>
        </w:rPr>
        <w:t xml:space="preserve">Decide. </w:t>
      </w:r>
      <w:r>
        <w:rPr>
          <w:color w:val="15242E"/>
          <w:sz w:val="21"/>
        </w:rPr>
        <w:t>Run Weston &amp; Sampson’s Go/No-Go honestly — including the two hard gates that override any read, no matter how strong it is.</w:t>
      </w:r>
    </w:p>
    <w:p>
      <w:pPr>
        <w:pStyle w:val="ListBullet"/>
        <w:spacing w:after="60" w:line="288" w:lineRule="auto"/>
      </w:pPr>
      <w:r>
        <w:rPr>
          <w:b/>
          <w:color w:val="063A5E"/>
          <w:sz w:val="21"/>
        </w:rPr>
        <w:t xml:space="preserve">Calibrate. </w:t>
      </w:r>
      <w:r>
        <w:rPr>
          <w:color w:val="15242E"/>
          <w:sz w:val="21"/>
        </w:rPr>
        <w:t>State an estimated net revenue and an honest win probability, and defend both to peers.</w:t>
      </w:r>
    </w:p>
    <w:p>
      <w:pPr>
        <w:pStyle w:val="ListBullet"/>
        <w:spacing w:after="60" w:line="288" w:lineRule="auto"/>
      </w:pPr>
      <w:r>
        <w:rPr>
          <w:b/>
          <w:color w:val="063A5E"/>
          <w:sz w:val="21"/>
        </w:rPr>
        <w:t xml:space="preserve">Refuse well. </w:t>
      </w:r>
      <w:r>
        <w:rPr>
          <w:color w:val="15242E"/>
          <w:sz w:val="21"/>
        </w:rPr>
        <w:t>Recognize a tempting-but-wrong pursuit and decline it with confidence, naming the real cost of a bad "Go."</w:t>
      </w:r>
    </w:p>
    <w:p>
      <w:pPr>
        <w:pStyle w:val="ListBullet"/>
        <w:spacing w:after="60" w:line="288" w:lineRule="auto"/>
      </w:pPr>
      <w:r>
        <w:rPr>
          <w:b/>
          <w:color w:val="063A5E"/>
          <w:sz w:val="21"/>
        </w:rPr>
        <w:t xml:space="preserve">Price it. </w:t>
      </w:r>
      <w:r>
        <w:rPr>
          <w:color w:val="15242E"/>
          <w:sz w:val="21"/>
        </w:rPr>
        <w:t>Name the pursuit type, read the value on three dimensions, and say where the price actually gets decided.</w:t>
      </w:r>
    </w:p>
    <w:p>
      <w:pPr>
        <w:keepNext/>
        <w:spacing w:before="280" w:after="80"/>
      </w:pPr>
      <w:r>
        <w:rPr>
          <w:b/>
          <w:color w:val="6FA000"/>
          <w:sz w:val="26"/>
        </w:rPr>
        <w:t xml:space="preserve">3  </w:t>
      </w:r>
      <w:r>
        <w:rPr>
          <w:b/>
          <w:color w:val="063A5E"/>
          <w:sz w:val="26"/>
        </w:rPr>
        <w:t>Run of show</w:t>
      </w:r>
    </w:p>
    <w:p>
      <w:pPr>
        <w:spacing w:after="160" w:before="0" w:line="300" w:lineRule="auto"/>
      </w:pPr>
      <w:r>
        <w:rPr>
          <w:b w:val="0"/>
          <w:i/>
          <w:color w:val="5C7180"/>
          <w:sz w:val="20"/>
        </w:rPr>
        <w:t>Each block ends with the participants doing something — comparing, reconciling, deciding, or defending. You are the guide, not the lecturer.</w:t>
      </w:r>
    </w:p>
    <w:tbl>
      <w:tblPr>
        <w:tblStyle w:val="TableGrid"/>
        <w:tblW w:type="auto" w:w="0"/>
        <w:jc w:val="center"/>
        <w:tblLook w:firstColumn="1" w:firstRow="1" w:lastColumn="0" w:lastRow="0" w:noHBand="0" w:noVBand="1" w:val="04A0"/>
      </w:tblPr>
      <w:tblGrid>
        <w:gridCol w:w="1930"/>
        <w:gridCol w:w="1930"/>
        <w:gridCol w:w="1930"/>
        <w:gridCol w:w="1930"/>
        <w:gridCol w:w="1930"/>
      </w:tblGrid>
      <w:tr>
        <w:tc>
          <w:tcPr>
            <w:tcW w:type="dxa" w:w="1930"/>
            <w:tcW w:w="900" w:type="dxa"/>
            <w:shd w:val="clear" w:fill="0061A0"/>
          </w:tcPr>
          <w:p>
            <w:pPr>
              <w:spacing w:after="40" w:before="40"/>
            </w:pPr>
            <w:r>
              <w:rPr>
                <w:b/>
                <w:color w:val="FFFFFF"/>
                <w:sz w:val="19"/>
              </w:rPr>
              <w:t>Start</w:t>
            </w:r>
          </w:p>
        </w:tc>
        <w:tc>
          <w:tcPr>
            <w:tcW w:type="dxa" w:w="1930"/>
            <w:tcW w:w="800" w:type="dxa"/>
            <w:shd w:val="clear" w:fill="0061A0"/>
          </w:tcPr>
          <w:p>
            <w:pPr>
              <w:spacing w:after="40" w:before="40"/>
            </w:pPr>
            <w:r>
              <w:rPr>
                <w:b/>
                <w:color w:val="FFFFFF"/>
                <w:sz w:val="19"/>
              </w:rPr>
              <w:t>Time</w:t>
            </w:r>
          </w:p>
        </w:tc>
        <w:tc>
          <w:tcPr>
            <w:tcW w:type="dxa" w:w="1930"/>
            <w:tcW w:w="2300" w:type="dxa"/>
            <w:shd w:val="clear" w:fill="0061A0"/>
          </w:tcPr>
          <w:p>
            <w:pPr>
              <w:spacing w:after="40" w:before="40"/>
            </w:pPr>
            <w:r>
              <w:rPr>
                <w:b/>
                <w:color w:val="FFFFFF"/>
                <w:sz w:val="19"/>
              </w:rPr>
              <w:t>Segment</w:t>
            </w:r>
          </w:p>
        </w:tc>
        <w:tc>
          <w:tcPr>
            <w:tcW w:type="dxa" w:w="1930"/>
            <w:tcW w:w="4100" w:type="dxa"/>
            <w:shd w:val="clear" w:fill="0061A0"/>
          </w:tcPr>
          <w:p>
            <w:pPr>
              <w:spacing w:after="40" w:before="40"/>
            </w:pPr>
            <w:r>
              <w:rPr>
                <w:b/>
                <w:color w:val="FFFFFF"/>
                <w:sz w:val="19"/>
              </w:rPr>
              <w:t>What happens</w:t>
            </w:r>
          </w:p>
        </w:tc>
        <w:tc>
          <w:tcPr>
            <w:tcW w:type="dxa" w:w="1930"/>
            <w:tcW w:w="1300" w:type="dxa"/>
            <w:shd w:val="clear" w:fill="0061A0"/>
          </w:tcPr>
          <w:p>
            <w:pPr>
              <w:spacing w:after="40" w:before="40"/>
            </w:pPr>
            <w:r>
              <w:rPr>
                <w:b/>
                <w:color w:val="FFFFFF"/>
                <w:sz w:val="19"/>
              </w:rPr>
              <w:t>Support</w:t>
            </w:r>
          </w:p>
        </w:tc>
      </w:tr>
      <w:tr>
        <w:tc>
          <w:tcPr>
            <w:tcW w:type="dxa" w:w="1930"/>
            <w:tcW w:w="900" w:type="dxa"/>
          </w:tcPr>
          <w:p>
            <w:pPr>
              <w:spacing w:after="60" w:before="60"/>
            </w:pPr>
            <w:r>
              <w:rPr>
                <w:b/>
                <w:color w:val="0061A0"/>
                <w:sz w:val="19"/>
              </w:rPr>
              <w:t>0:00</w:t>
            </w:r>
          </w:p>
        </w:tc>
        <w:tc>
          <w:tcPr>
            <w:tcW w:type="dxa" w:w="1930"/>
            <w:tcW w:w="800" w:type="dxa"/>
          </w:tcPr>
          <w:p>
            <w:pPr>
              <w:spacing w:after="60" w:before="60"/>
            </w:pPr>
            <w:r>
              <w:rPr>
                <w:b/>
                <w:color w:val="0061A0"/>
                <w:sz w:val="19"/>
              </w:rPr>
              <w:t>5 min</w:t>
            </w:r>
          </w:p>
        </w:tc>
        <w:tc>
          <w:tcPr>
            <w:tcW w:type="dxa" w:w="1930"/>
            <w:tcW w:w="2300" w:type="dxa"/>
          </w:tcPr>
          <w:p>
            <w:pPr>
              <w:spacing w:after="60" w:before="60"/>
            </w:pPr>
            <w:r>
              <w:rPr>
                <w:b/>
                <w:color w:val="063A5E"/>
                <w:sz w:val="19"/>
              </w:rPr>
              <w:t>Cold open &amp; frame</w:t>
            </w:r>
          </w:p>
        </w:tc>
        <w:tc>
          <w:tcPr>
            <w:tcW w:type="dxa" w:w="1930"/>
            <w:tcW w:w="4100" w:type="dxa"/>
          </w:tcPr>
          <w:p>
            <w:pPr>
              <w:spacing w:after="60" w:before="60"/>
            </w:pPr>
            <w:r>
              <w:rPr>
                <w:color w:val="15242E"/>
                <w:sz w:val="18"/>
              </w:rPr>
              <w:t>Open on the screen: “Roughly how many technical hours did your group spend last year on proposals you didn’t win?” Take 2–3 numbers in chat. Reframe: every proposal is a withdrawal from the same account that pays our salaries — and our ownership. Today is about deciding which withdrawals are worth it.</w:t>
            </w:r>
          </w:p>
        </w:tc>
        <w:tc>
          <w:tcPr>
            <w:tcW w:type="dxa" w:w="1930"/>
            <w:tcW w:w="1300" w:type="dxa"/>
          </w:tcPr>
          <w:p>
            <w:pPr>
              <w:spacing w:after="60" w:before="60"/>
            </w:pPr>
            <w:r>
              <w:rPr>
                <w:color w:val="15242E"/>
                <w:sz w:val="19"/>
              </w:rPr>
              <w:t>Slides 1–3</w:t>
            </w:r>
          </w:p>
        </w:tc>
      </w:tr>
      <w:tr>
        <w:tc>
          <w:tcPr>
            <w:tcW w:type="dxa" w:w="1930"/>
            <w:tcW w:w="900" w:type="dxa"/>
            <w:shd w:val="clear" w:fill="F4F7F9"/>
          </w:tcPr>
          <w:p>
            <w:pPr>
              <w:spacing w:after="60" w:before="60"/>
            </w:pPr>
            <w:r>
              <w:rPr>
                <w:b/>
                <w:color w:val="0061A0"/>
                <w:sz w:val="19"/>
              </w:rPr>
              <w:t>0:05</w:t>
            </w:r>
          </w:p>
        </w:tc>
        <w:tc>
          <w:tcPr>
            <w:tcW w:type="dxa" w:w="1930"/>
            <w:tcW w:w="800" w:type="dxa"/>
            <w:shd w:val="clear" w:fill="F4F7F9"/>
          </w:tcPr>
          <w:p>
            <w:pPr>
              <w:spacing w:after="60" w:before="60"/>
            </w:pPr>
            <w:r>
              <w:rPr>
                <w:b/>
                <w:color w:val="0061A0"/>
                <w:sz w:val="19"/>
              </w:rPr>
              <w:t>7 min</w:t>
            </w:r>
          </w:p>
        </w:tc>
        <w:tc>
          <w:tcPr>
            <w:tcW w:type="dxa" w:w="1930"/>
            <w:tcW w:w="2300" w:type="dxa"/>
            <w:shd w:val="clear" w:fill="F4F7F9"/>
          </w:tcPr>
          <w:p>
            <w:pPr>
              <w:spacing w:after="60" w:before="60"/>
            </w:pPr>
            <w:r>
              <w:rPr>
                <w:b/>
                <w:color w:val="063A5E"/>
                <w:sz w:val="19"/>
              </w:rPr>
              <w:t>Calibrate on the shared lead</w:t>
            </w:r>
          </w:p>
        </w:tc>
        <w:tc>
          <w:tcPr>
            <w:tcW w:type="dxa" w:w="1930"/>
            <w:tcW w:w="4100" w:type="dxa"/>
            <w:shd w:val="clear" w:fill="F4F7F9"/>
          </w:tcPr>
          <w:p>
            <w:pPr>
              <w:spacing w:after="60" w:before="60"/>
            </w:pPr>
            <w:r>
              <w:rPr>
                <w:color w:val="15242E"/>
                <w:sz w:val="18"/>
              </w:rPr>
              <w:t>Reveal the group’s pre-work reads for the shared lead (poll or chat) — who’s pursuing, who’s pausing, and why. Display the spread. Ask the most-confident and most-hesitant participant to say one sentence on their read. Do NOT resolve yet — just surface the gap.</w:t>
            </w:r>
          </w:p>
        </w:tc>
        <w:tc>
          <w:tcPr>
            <w:tcW w:type="dxa" w:w="1930"/>
            <w:tcW w:w="1300" w:type="dxa"/>
            <w:shd w:val="clear" w:fill="F4F7F9"/>
          </w:tcPr>
          <w:p>
            <w:pPr>
              <w:spacing w:after="60" w:before="60"/>
            </w:pPr>
            <w:r>
              <w:rPr>
                <w:color w:val="15242E"/>
                <w:sz w:val="19"/>
              </w:rPr>
              <w:t>Slide 4 + Worksheet</w:t>
            </w:r>
          </w:p>
        </w:tc>
      </w:tr>
      <w:tr>
        <w:tc>
          <w:tcPr>
            <w:tcW w:type="dxa" w:w="1930"/>
            <w:tcW w:w="900" w:type="dxa"/>
          </w:tcPr>
          <w:p>
            <w:pPr>
              <w:spacing w:after="60" w:before="60"/>
            </w:pPr>
            <w:r>
              <w:rPr>
                <w:b/>
                <w:color w:val="0061A0"/>
                <w:sz w:val="19"/>
              </w:rPr>
              <w:t>0:12</w:t>
            </w:r>
          </w:p>
        </w:tc>
        <w:tc>
          <w:tcPr>
            <w:tcW w:type="dxa" w:w="1930"/>
            <w:tcW w:w="800" w:type="dxa"/>
          </w:tcPr>
          <w:p>
            <w:pPr>
              <w:spacing w:after="60" w:before="60"/>
            </w:pPr>
            <w:r>
              <w:rPr>
                <w:b/>
                <w:color w:val="0061A0"/>
                <w:sz w:val="19"/>
              </w:rPr>
              <w:t>8 min</w:t>
            </w:r>
          </w:p>
        </w:tc>
        <w:tc>
          <w:tcPr>
            <w:tcW w:type="dxa" w:w="1930"/>
            <w:tcW w:w="2300" w:type="dxa"/>
          </w:tcPr>
          <w:p>
            <w:pPr>
              <w:spacing w:after="60" w:before="60"/>
            </w:pPr>
            <w:r>
              <w:rPr>
                <w:b/>
                <w:color w:val="063A5E"/>
                <w:sz w:val="19"/>
              </w:rPr>
              <w:t>Reconcile win probability (breakouts)</w:t>
            </w:r>
          </w:p>
        </w:tc>
        <w:tc>
          <w:tcPr>
            <w:tcW w:type="dxa" w:w="1930"/>
            <w:tcW w:w="4100" w:type="dxa"/>
          </w:tcPr>
          <w:p>
            <w:pPr>
              <w:spacing w:after="60" w:before="60"/>
            </w:pPr>
            <w:r>
              <w:rPr>
                <w:color w:val="15242E"/>
                <w:sz w:val="18"/>
              </w:rPr>
              <w:t>Breakout rooms of 3–4. Task: agree on a single win probability for the shared lead and one piece of evidence behind it. Return and report. Capture numbers on screen. Name the pattern: hope inflates, evidence anchors.</w:t>
            </w:r>
          </w:p>
        </w:tc>
        <w:tc>
          <w:tcPr>
            <w:tcW w:type="dxa" w:w="1930"/>
            <w:tcW w:w="1300" w:type="dxa"/>
          </w:tcPr>
          <w:p>
            <w:pPr>
              <w:spacing w:after="60" w:before="60"/>
            </w:pPr>
            <w:r>
              <w:rPr>
                <w:color w:val="15242E"/>
                <w:sz w:val="19"/>
              </w:rPr>
              <w:t>Slide 5</w:t>
            </w:r>
          </w:p>
        </w:tc>
      </w:tr>
      <w:tr>
        <w:tc>
          <w:tcPr>
            <w:tcW w:type="dxa" w:w="1930"/>
            <w:tcW w:w="900" w:type="dxa"/>
          </w:tcPr>
          <w:p>
            <w:pPr>
              <w:spacing w:after="60" w:before="60"/>
            </w:pPr>
            <w:r>
              <w:rPr>
                <w:b/>
                <w:color w:val="0061A0"/>
                <w:sz w:val="19"/>
              </w:rPr>
              <w:t>0:20</w:t>
            </w:r>
          </w:p>
        </w:tc>
        <w:tc>
          <w:tcPr>
            <w:tcW w:type="dxa" w:w="1930"/>
            <w:tcW w:w="800" w:type="dxa"/>
          </w:tcPr>
          <w:p>
            <w:pPr>
              <w:spacing w:after="60" w:before="60"/>
            </w:pPr>
            <w:r>
              <w:rPr>
                <w:b/>
                <w:color w:val="0061A0"/>
                <w:sz w:val="19"/>
              </w:rPr>
              <w:t>6 min</w:t>
            </w:r>
          </w:p>
        </w:tc>
        <w:tc>
          <w:tcPr>
            <w:tcW w:type="dxa" w:w="1930"/>
            <w:tcW w:w="2300" w:type="dxa"/>
          </w:tcPr>
          <w:p>
            <w:pPr>
              <w:spacing w:after="60" w:before="60"/>
            </w:pPr>
            <w:r>
              <w:rPr>
                <w:b/>
                <w:color w:val="063A5E"/>
                <w:sz w:val="19"/>
              </w:rPr>
              <w:t>Price the value &amp; name the pursuit type</w:t>
            </w:r>
          </w:p>
        </w:tc>
        <w:tc>
          <w:tcPr>
            <w:tcW w:type="dxa" w:w="1930"/>
            <w:tcW w:w="4100" w:type="dxa"/>
          </w:tcPr>
          <w:p>
            <w:pPr>
              <w:spacing w:after="60" w:before="60"/>
            </w:pPr>
            <w:r>
              <w:rPr>
                <w:color w:val="15242E"/>
                <w:sz w:val="18"/>
              </w:rPr>
              <w:t>Ask: for the shared lead, is this qualifications-based, an RFP, or a direct appeal — and where does that put the pricing decision? Quick pair-share: read the value on the three dimensions (fit, client experience, business return) and call high/medium/low. Land it: the opportunity read protects the hours; the value read protects the price.</w:t>
            </w:r>
          </w:p>
        </w:tc>
        <w:tc>
          <w:tcPr>
            <w:tcW w:type="dxa" w:w="1930"/>
            <w:tcW w:w="1300" w:type="dxa"/>
          </w:tcPr>
          <w:p>
            <w:pPr>
              <w:spacing w:after="60" w:before="60"/>
            </w:pPr>
            <w:r>
              <w:rPr>
                <w:color w:val="15242E"/>
                <w:sz w:val="19"/>
              </w:rPr>
              <w:t>Slide 6</w:t>
            </w:r>
          </w:p>
        </w:tc>
      </w:tr>
      <w:tr>
        <w:tc>
          <w:tcPr>
            <w:tcW w:type="dxa" w:w="1930"/>
            <w:tcW w:w="900" w:type="dxa"/>
            <w:shd w:val="clear" w:fill="F4F7F9"/>
          </w:tcPr>
          <w:p>
            <w:pPr>
              <w:spacing w:after="60" w:before="60"/>
            </w:pPr>
            <w:r>
              <w:rPr>
                <w:b/>
                <w:color w:val="0061A0"/>
                <w:sz w:val="19"/>
              </w:rPr>
              <w:t>0:26</w:t>
            </w:r>
          </w:p>
        </w:tc>
        <w:tc>
          <w:tcPr>
            <w:tcW w:type="dxa" w:w="1930"/>
            <w:tcW w:w="800" w:type="dxa"/>
            <w:shd w:val="clear" w:fill="F4F7F9"/>
          </w:tcPr>
          <w:p>
            <w:pPr>
              <w:spacing w:after="60" w:before="60"/>
            </w:pPr>
            <w:r>
              <w:rPr>
                <w:b/>
                <w:color w:val="0061A0"/>
                <w:sz w:val="19"/>
              </w:rPr>
              <w:t>10 min</w:t>
            </w:r>
          </w:p>
        </w:tc>
        <w:tc>
          <w:tcPr>
            <w:tcW w:type="dxa" w:w="1930"/>
            <w:tcW w:w="2300" w:type="dxa"/>
            <w:shd w:val="clear" w:fill="F4F7F9"/>
          </w:tcPr>
          <w:p>
            <w:pPr>
              <w:spacing w:after="60" w:before="60"/>
            </w:pPr>
            <w:r>
              <w:rPr>
                <w:b/>
                <w:color w:val="063A5E"/>
                <w:sz w:val="19"/>
              </w:rPr>
              <w:t>Skill practice — the hard No-Go</w:t>
            </w:r>
          </w:p>
        </w:tc>
        <w:tc>
          <w:tcPr>
            <w:tcW w:type="dxa" w:w="1930"/>
            <w:tcW w:w="4100" w:type="dxa"/>
            <w:shd w:val="clear" w:fill="F4F7F9"/>
          </w:tcPr>
          <w:p>
            <w:pPr>
              <w:spacing w:after="60" w:before="60"/>
            </w:pPr>
            <w:r>
              <w:rPr>
                <w:color w:val="15242E"/>
                <w:sz w:val="18"/>
              </w:rPr>
              <w:t>Present a tempting opportunity that fails a hard gate (licensure or capacity). Pairs role-play: one delivers the No-Go to an eager principal; the other plays the principal. Swap. Debrief the language that worked.</w:t>
            </w:r>
          </w:p>
        </w:tc>
        <w:tc>
          <w:tcPr>
            <w:tcW w:type="dxa" w:w="1930"/>
            <w:tcW w:w="1300" w:type="dxa"/>
            <w:shd w:val="clear" w:fill="F4F7F9"/>
          </w:tcPr>
          <w:p>
            <w:pPr>
              <w:spacing w:after="60" w:before="60"/>
            </w:pPr>
            <w:r>
              <w:rPr>
                <w:color w:val="15242E"/>
                <w:sz w:val="19"/>
              </w:rPr>
              <w:t>Slides 7–8</w:t>
            </w:r>
          </w:p>
        </w:tc>
      </w:tr>
      <w:tr>
        <w:tc>
          <w:tcPr>
            <w:tcW w:type="dxa" w:w="1930"/>
            <w:tcW w:w="900" w:type="dxa"/>
          </w:tcPr>
          <w:p>
            <w:pPr>
              <w:spacing w:after="60" w:before="60"/>
            </w:pPr>
            <w:r>
              <w:rPr>
                <w:b/>
                <w:color w:val="0061A0"/>
                <w:sz w:val="19"/>
              </w:rPr>
              <w:t>0:36</w:t>
            </w:r>
          </w:p>
        </w:tc>
        <w:tc>
          <w:tcPr>
            <w:tcW w:type="dxa" w:w="1930"/>
            <w:tcW w:w="800" w:type="dxa"/>
          </w:tcPr>
          <w:p>
            <w:pPr>
              <w:spacing w:after="60" w:before="60"/>
            </w:pPr>
            <w:r>
              <w:rPr>
                <w:b/>
                <w:color w:val="0061A0"/>
                <w:sz w:val="19"/>
              </w:rPr>
              <w:t>6 min</w:t>
            </w:r>
          </w:p>
        </w:tc>
        <w:tc>
          <w:tcPr>
            <w:tcW w:type="dxa" w:w="1930"/>
            <w:tcW w:w="2300" w:type="dxa"/>
          </w:tcPr>
          <w:p>
            <w:pPr>
              <w:spacing w:after="60" w:before="60"/>
            </w:pPr>
            <w:r>
              <w:rPr>
                <w:b/>
                <w:color w:val="063A5E"/>
                <w:sz w:val="19"/>
              </w:rPr>
              <w:t>Defend a number</w:t>
            </w:r>
          </w:p>
        </w:tc>
        <w:tc>
          <w:tcPr>
            <w:tcW w:type="dxa" w:w="1930"/>
            <w:tcW w:w="4100" w:type="dxa"/>
          </w:tcPr>
          <w:p>
            <w:pPr>
              <w:spacing w:after="60" w:before="60"/>
            </w:pPr>
            <w:r>
              <w:rPr>
                <w:color w:val="15242E"/>
                <w:sz w:val="18"/>
              </w:rPr>
              <w:t>Popcorn round: 4–5 participants each state estimated net revenue + win probability for the shared lead and defend it in two sentences. Group may challenge once each.</w:t>
            </w:r>
          </w:p>
        </w:tc>
        <w:tc>
          <w:tcPr>
            <w:tcW w:type="dxa" w:w="1930"/>
            <w:tcW w:w="1300" w:type="dxa"/>
          </w:tcPr>
          <w:p>
            <w:pPr>
              <w:spacing w:after="60" w:before="60"/>
            </w:pPr>
            <w:r>
              <w:rPr>
                <w:color w:val="15242E"/>
                <w:sz w:val="19"/>
              </w:rPr>
              <w:t>Slide 9</w:t>
            </w:r>
          </w:p>
        </w:tc>
      </w:tr>
      <w:tr>
        <w:tc>
          <w:tcPr>
            <w:tcW w:type="dxa" w:w="1930"/>
            <w:tcW w:w="900" w:type="dxa"/>
            <w:shd w:val="clear" w:fill="F4F7F9"/>
          </w:tcPr>
          <w:p>
            <w:pPr>
              <w:spacing w:after="60" w:before="60"/>
            </w:pPr>
            <w:r>
              <w:rPr>
                <w:b/>
                <w:color w:val="0061A0"/>
                <w:sz w:val="19"/>
              </w:rPr>
              <w:t>0:42</w:t>
            </w:r>
          </w:p>
        </w:tc>
        <w:tc>
          <w:tcPr>
            <w:tcW w:type="dxa" w:w="1930"/>
            <w:tcW w:w="800" w:type="dxa"/>
            <w:shd w:val="clear" w:fill="F4F7F9"/>
          </w:tcPr>
          <w:p>
            <w:pPr>
              <w:spacing w:after="60" w:before="60"/>
            </w:pPr>
            <w:r>
              <w:rPr>
                <w:b/>
                <w:color w:val="0061A0"/>
                <w:sz w:val="19"/>
              </w:rPr>
              <w:t>3 min</w:t>
            </w:r>
          </w:p>
        </w:tc>
        <w:tc>
          <w:tcPr>
            <w:tcW w:type="dxa" w:w="1930"/>
            <w:tcW w:w="2300" w:type="dxa"/>
            <w:shd w:val="clear" w:fill="F4F7F9"/>
          </w:tcPr>
          <w:p>
            <w:pPr>
              <w:spacing w:after="60" w:before="60"/>
            </w:pPr>
            <w:r>
              <w:rPr>
                <w:b/>
                <w:color w:val="063A5E"/>
                <w:sz w:val="19"/>
              </w:rPr>
              <w:t>Close &amp; bridge</w:t>
            </w:r>
          </w:p>
        </w:tc>
        <w:tc>
          <w:tcPr>
            <w:tcW w:type="dxa" w:w="1930"/>
            <w:tcW w:w="4100" w:type="dxa"/>
            <w:shd w:val="clear" w:fill="F4F7F9"/>
          </w:tcPr>
          <w:p>
            <w:pPr>
              <w:spacing w:after="60" w:before="60"/>
            </w:pPr>
            <w:r>
              <w:rPr>
                <w:color w:val="15242E"/>
                <w:sz w:val="18"/>
              </w:rPr>
              <w:t>Restate the throughline. Pose the challenge question. Bridge to Week 3: sharpening the two numbers the Go/No-Go demanded — revenue/effort forecasting and honest win probability.</w:t>
            </w:r>
          </w:p>
        </w:tc>
        <w:tc>
          <w:tcPr>
            <w:tcW w:type="dxa" w:w="1930"/>
            <w:tcW w:w="1300" w:type="dxa"/>
            <w:shd w:val="clear" w:fill="F4F7F9"/>
          </w:tcPr>
          <w:p>
            <w:pPr>
              <w:spacing w:after="60" w:before="60"/>
            </w:pPr>
            <w:r>
              <w:rPr>
                <w:color w:val="15242E"/>
                <w:sz w:val="19"/>
              </w:rPr>
              <w:t>Slide 10</w:t>
            </w:r>
          </w:p>
        </w:tc>
      </w:tr>
    </w:tbl>
    <w:p>
      <w:pPr>
        <w:keepNext/>
        <w:spacing w:before="280" w:after="80"/>
      </w:pPr>
      <w:r>
        <w:rPr>
          <w:b/>
          <w:color w:val="6FA000"/>
          <w:sz w:val="26"/>
        </w:rPr>
        <w:t xml:space="preserve">4  </w:t>
      </w:r>
      <w:r>
        <w:rPr>
          <w:b/>
          <w:color w:val="063A5E"/>
          <w:sz w:val="26"/>
        </w:rPr>
        <w:t>Facilitator notes by segment</w:t>
      </w:r>
    </w:p>
    <w:p>
      <w:pPr>
        <w:spacing w:after="40" w:before="120" w:line="300" w:lineRule="auto"/>
      </w:pPr>
      <w:r>
        <w:rPr>
          <w:b/>
          <w:i w:val="0"/>
          <w:color w:val="063A5E"/>
          <w:sz w:val="22"/>
        </w:rPr>
        <w:t>Cold open (0:00)</w:t>
      </w:r>
    </w:p>
    <w:p>
      <w:pPr>
        <w:spacing w:after="40"/>
      </w:pPr>
      <w:r>
        <w:rPr>
          <w:b/>
          <w:color w:val="6FA000"/>
          <w:sz w:val="20"/>
        </w:rPr>
        <w:t xml:space="preserve">Say / ask: </w:t>
      </w:r>
      <w:r>
        <w:rPr>
          <w:i/>
          <w:color w:val="15242E"/>
          <w:sz w:val="20"/>
        </w:rPr>
        <w:t>“What did chasing the wrong work actually cost us last year — in hours we’ll never bill?”</w:t>
      </w:r>
    </w:p>
    <w:p>
      <w:pPr>
        <w:spacing w:after="120"/>
      </w:pPr>
      <w:r>
        <w:rPr>
          <w:b/>
          <w:color w:val="0061A0"/>
          <w:sz w:val="20"/>
        </w:rPr>
        <w:t xml:space="preserve">Watch for: </w:t>
      </w:r>
      <w:r>
        <w:rPr>
          <w:color w:val="15242E"/>
          <w:sz w:val="20"/>
        </w:rPr>
        <w:t>Defensiveness. Keep it blameless — the point is the system, not any one bad call. Land the line: pursuit isn’t free.</w:t>
      </w:r>
    </w:p>
    <w:p>
      <w:pPr>
        <w:spacing w:after="40" w:before="120" w:line="300" w:lineRule="auto"/>
      </w:pPr>
      <w:r>
        <w:rPr>
          <w:b/>
          <w:i w:val="0"/>
          <w:color w:val="063A5E"/>
          <w:sz w:val="22"/>
        </w:rPr>
        <w:t>Calibrate (0:05)</w:t>
      </w:r>
    </w:p>
    <w:p>
      <w:pPr>
        <w:spacing w:after="40"/>
      </w:pPr>
      <w:r>
        <w:rPr>
          <w:b/>
          <w:color w:val="6FA000"/>
          <w:sz w:val="20"/>
        </w:rPr>
        <w:t xml:space="preserve">Say / ask: </w:t>
      </w:r>
      <w:r>
        <w:rPr>
          <w:i/>
          <w:color w:val="15242E"/>
          <w:sz w:val="20"/>
        </w:rPr>
        <w:t>“Same lead, same worksheet — why did our reads land so far apart?”</w:t>
      </w:r>
    </w:p>
    <w:p>
      <w:pPr>
        <w:spacing w:after="120"/>
      </w:pPr>
      <w:r>
        <w:rPr>
          <w:b/>
          <w:color w:val="0061A0"/>
          <w:sz w:val="20"/>
        </w:rPr>
        <w:t xml:space="preserve">Watch for: </w:t>
      </w:r>
      <w:r>
        <w:rPr>
          <w:color w:val="15242E"/>
          <w:sz w:val="20"/>
        </w:rPr>
        <w:t>The gap usually lives in Section B (positioning) and the win probability. That gap is the lesson; resist closing it too quickly. (Law 2 — let their own data make the case.)</w:t>
      </w:r>
    </w:p>
    <w:p>
      <w:pPr>
        <w:spacing w:after="40" w:before="120" w:line="300" w:lineRule="auto"/>
      </w:pPr>
      <w:r>
        <w:rPr>
          <w:b/>
          <w:i w:val="0"/>
          <w:color w:val="063A5E"/>
          <w:sz w:val="22"/>
        </w:rPr>
        <w:t>Reconcile win probability (0:13)</w:t>
      </w:r>
    </w:p>
    <w:p>
      <w:pPr>
        <w:spacing w:after="40"/>
      </w:pPr>
      <w:r>
        <w:rPr>
          <w:b/>
          <w:color w:val="6FA000"/>
          <w:sz w:val="20"/>
        </w:rPr>
        <w:t xml:space="preserve">Say / ask: </w:t>
      </w:r>
      <w:r>
        <w:rPr>
          <w:i/>
          <w:color w:val="15242E"/>
          <w:sz w:val="20"/>
        </w:rPr>
        <w:t>“What evidence — not hope — supports that percentage?”</w:t>
      </w:r>
    </w:p>
    <w:p>
      <w:pPr>
        <w:spacing w:after="120"/>
      </w:pPr>
      <w:r>
        <w:rPr>
          <w:b/>
          <w:color w:val="0061A0"/>
          <w:sz w:val="20"/>
        </w:rPr>
        <w:t xml:space="preserve">Watch for: </w:t>
      </w:r>
      <w:r>
        <w:rPr>
          <w:color w:val="15242E"/>
          <w:sz w:val="20"/>
        </w:rPr>
        <w:t>Groups anchoring on “we’re good at this” instead of relationship, incumbency, or capture history. Push for evidence. Capture the honest number even when it stings.</w:t>
      </w:r>
    </w:p>
    <w:p>
      <w:pPr>
        <w:spacing w:after="40" w:before="120" w:line="300" w:lineRule="auto"/>
      </w:pPr>
      <w:r>
        <w:rPr>
          <w:b/>
          <w:i w:val="0"/>
          <w:color w:val="063A5E"/>
          <w:sz w:val="22"/>
        </w:rPr>
        <w:t>Price the value &amp; name the pursuit type (0:20)</w:t>
      </w:r>
    </w:p>
    <w:p>
      <w:pPr>
        <w:spacing w:after="40"/>
      </w:pPr>
      <w:r>
        <w:rPr>
          <w:b/>
          <w:color w:val="6FA000"/>
          <w:sz w:val="20"/>
        </w:rPr>
        <w:t xml:space="preserve">Say / ask: </w:t>
      </w:r>
      <w:r>
        <w:rPr>
          <w:i/>
          <w:color w:val="15242E"/>
          <w:sz w:val="20"/>
        </w:rPr>
        <w:t>“Is this lead qualifications-based, an RFP, or a direct appeal — and where does that put the pricing decision?”</w:t>
      </w:r>
    </w:p>
    <w:p>
      <w:pPr>
        <w:spacing w:after="120"/>
      </w:pPr>
      <w:r>
        <w:rPr>
          <w:b/>
          <w:color w:val="0061A0"/>
          <w:sz w:val="20"/>
        </w:rPr>
        <w:t xml:space="preserve">Watch for: </w:t>
      </w:r>
      <w:r>
        <w:rPr>
          <w:color w:val="15242E"/>
          <w:sz w:val="20"/>
        </w:rPr>
        <w:t>Groups treating value as a feeling instead of a read on three dimensions — fit, client experience, business return. Press for the specific dimension driving the read, and for where in the pursuit type the price actually gets set.</w:t>
      </w:r>
    </w:p>
    <w:p>
      <w:pPr>
        <w:spacing w:after="40" w:before="120" w:line="300" w:lineRule="auto"/>
      </w:pPr>
      <w:r>
        <w:rPr>
          <w:b/>
          <w:i w:val="0"/>
          <w:color w:val="063A5E"/>
          <w:sz w:val="22"/>
        </w:rPr>
        <w:t>Skill practice — the hard No-Go (0:26)</w:t>
      </w:r>
    </w:p>
    <w:p>
      <w:pPr>
        <w:spacing w:after="40"/>
      </w:pPr>
      <w:r>
        <w:rPr>
          <w:b/>
          <w:color w:val="6FA000"/>
          <w:sz w:val="20"/>
        </w:rPr>
        <w:t xml:space="preserve">Say / ask: </w:t>
      </w:r>
      <w:r>
        <w:rPr>
          <w:i/>
          <w:color w:val="15242E"/>
          <w:sz w:val="20"/>
        </w:rPr>
        <w:t>“You have to tell a principal who wants this badly that it’s a No-Go. What do you say in the first 15 seconds?”</w:t>
      </w:r>
    </w:p>
    <w:p>
      <w:pPr>
        <w:spacing w:after="120"/>
      </w:pPr>
      <w:r>
        <w:rPr>
          <w:b/>
          <w:color w:val="0061A0"/>
          <w:sz w:val="20"/>
        </w:rPr>
        <w:t xml:space="preserve">Watch for: </w:t>
      </w:r>
      <w:r>
        <w:rPr>
          <w:color w:val="15242E"/>
          <w:sz w:val="20"/>
        </w:rPr>
        <w:t>Apologizing or hedging. Coach toward: name the gate, name the cost of ignoring it, offer the alternative (a better-fit pursuit). This is the behavior-change rep (Law 4).</w:t>
      </w:r>
    </w:p>
    <w:p>
      <w:pPr>
        <w:spacing w:after="40" w:before="120" w:line="300" w:lineRule="auto"/>
      </w:pPr>
      <w:r>
        <w:rPr>
          <w:b/>
          <w:i w:val="0"/>
          <w:color w:val="063A5E"/>
          <w:sz w:val="22"/>
        </w:rPr>
        <w:t>Defend a number (0:36)</w:t>
      </w:r>
    </w:p>
    <w:p>
      <w:pPr>
        <w:spacing w:after="40"/>
      </w:pPr>
      <w:r>
        <w:rPr>
          <w:b/>
          <w:color w:val="6FA000"/>
          <w:sz w:val="20"/>
        </w:rPr>
        <w:t xml:space="preserve">Say / ask: </w:t>
      </w:r>
      <w:r>
        <w:rPr>
          <w:i/>
          <w:color w:val="15242E"/>
          <w:sz w:val="20"/>
        </w:rPr>
        <w:t>“Net revenue and win probability — give me both, and defend them in two sentences.”</w:t>
      </w:r>
    </w:p>
    <w:p>
      <w:pPr>
        <w:spacing w:after="120"/>
      </w:pPr>
      <w:r>
        <w:rPr>
          <w:b/>
          <w:color w:val="0061A0"/>
          <w:sz w:val="20"/>
        </w:rPr>
        <w:t xml:space="preserve">Watch for: </w:t>
      </w:r>
      <w:r>
        <w:rPr>
          <w:color w:val="15242E"/>
          <w:sz w:val="20"/>
        </w:rPr>
        <w:t>Round numbers with no basis. A good defense cites the form, the relationship, and the competition. Praise honest low numbers as much as confident high ones.</w:t>
      </w:r>
    </w:p>
    <w:p>
      <w:pPr>
        <w:keepNext/>
        <w:spacing w:before="280" w:after="80"/>
      </w:pPr>
      <w:r>
        <w:rPr>
          <w:b/>
          <w:color w:val="6FA000"/>
          <w:sz w:val="26"/>
        </w:rPr>
        <w:t xml:space="preserve">5  </w:t>
      </w:r>
      <w:r>
        <w:rPr>
          <w:b/>
          <w:color w:val="063A5E"/>
          <w:sz w:val="26"/>
        </w:rPr>
        <w:t>Anticipated pushback &amp; responses</w:t>
      </w:r>
    </w:p>
    <w:tbl>
      <w:tblPr>
        <w:tblStyle w:val="TableGrid"/>
        <w:tblW w:type="auto" w:w="0"/>
        <w:jc w:val="center"/>
        <w:tblLook w:firstColumn="1" w:firstRow="1" w:lastColumn="0" w:lastRow="0" w:noHBand="0" w:noVBand="1" w:val="04A0"/>
      </w:tblPr>
      <w:tblGrid>
        <w:gridCol w:w="4824"/>
        <w:gridCol w:w="4824"/>
      </w:tblGrid>
      <w:tr>
        <w:tc>
          <w:tcPr>
            <w:tcW w:type="dxa" w:w="4824"/>
            <w:tcW w:w="3700" w:type="dxa"/>
            <w:shd w:val="clear" w:fill="3E5C76"/>
          </w:tcPr>
          <w:p>
            <w:r>
              <w:rPr>
                <w:b/>
                <w:color w:val="FFFFFF"/>
                <w:sz w:val="20"/>
              </w:rPr>
              <w:t>You’ll hear…</w:t>
            </w:r>
          </w:p>
        </w:tc>
        <w:tc>
          <w:tcPr>
            <w:tcW w:type="dxa" w:w="4824"/>
            <w:tcW w:w="5700" w:type="dxa"/>
            <w:shd w:val="clear" w:fill="3E5C76"/>
          </w:tcPr>
          <w:p>
            <w:r>
              <w:rPr>
                <w:b/>
                <w:color w:val="FFFFFF"/>
                <w:sz w:val="20"/>
              </w:rPr>
              <w:t>Respond with…</w:t>
            </w:r>
          </w:p>
        </w:tc>
      </w:tr>
      <w:tr>
        <w:tc>
          <w:tcPr>
            <w:tcW w:type="dxa" w:w="4824"/>
            <w:tcW w:w="3700" w:type="dxa"/>
          </w:tcPr>
          <w:p>
            <w:r>
              <w:rPr>
                <w:i/>
                <w:color w:val="063A5E"/>
                <w:sz w:val="19"/>
              </w:rPr>
              <w:t>“The form is just bureaucracy.”</w:t>
            </w:r>
          </w:p>
        </w:tc>
        <w:tc>
          <w:tcPr>
            <w:tcW w:type="dxa" w:w="4824"/>
            <w:tcW w:w="5700" w:type="dxa"/>
          </w:tcPr>
          <w:p>
            <w:r>
              <w:rPr>
                <w:color w:val="15242E"/>
                <w:sz w:val="19"/>
              </w:rPr>
              <w:t>It’s the opposite — it’s how a gut call becomes a number the whole firm can trust and plan against. Skipping it doesn’t save time; it hides risk.</w:t>
            </w:r>
          </w:p>
        </w:tc>
      </w:tr>
      <w:tr>
        <w:tc>
          <w:tcPr>
            <w:tcW w:type="dxa" w:w="4824"/>
            <w:tcW w:w="3700" w:type="dxa"/>
            <w:shd w:val="clear" w:fill="F4F7F9"/>
          </w:tcPr>
          <w:p>
            <w:r>
              <w:rPr>
                <w:i/>
                <w:color w:val="063A5E"/>
                <w:sz w:val="19"/>
              </w:rPr>
              <w:t>“We should chase everything — you miss every shot you don’t take.”</w:t>
            </w:r>
          </w:p>
        </w:tc>
        <w:tc>
          <w:tcPr>
            <w:tcW w:type="dxa" w:w="4824"/>
            <w:tcW w:w="5700" w:type="dxa"/>
            <w:shd w:val="clear" w:fill="F4F7F9"/>
          </w:tcPr>
          <w:p>
            <w:r>
              <w:rPr>
                <w:color w:val="15242E"/>
                <w:sz w:val="19"/>
              </w:rPr>
              <w:t>Every shot costs senior hours we could bill or spend on winnable work. The Go/No-Go isn’t about timidity; it’s about aiming.</w:t>
            </w:r>
          </w:p>
        </w:tc>
      </w:tr>
      <w:tr>
        <w:tc>
          <w:tcPr>
            <w:tcW w:type="dxa" w:w="4824"/>
            <w:tcW w:w="3700" w:type="dxa"/>
          </w:tcPr>
          <w:p>
            <w:r>
              <w:rPr>
                <w:i/>
                <w:color w:val="063A5E"/>
                <w:sz w:val="19"/>
              </w:rPr>
              <w:t>“My win probability is always 50%.”</w:t>
            </w:r>
          </w:p>
        </w:tc>
        <w:tc>
          <w:tcPr>
            <w:tcW w:type="dxa" w:w="4824"/>
            <w:tcW w:w="5700" w:type="dxa"/>
          </w:tcPr>
          <w:p>
            <w:r>
              <w:rPr>
                <w:color w:val="15242E"/>
                <w:sz w:val="19"/>
              </w:rPr>
              <w:t>50% is usually code for “I haven’t looked.” Anchor it to evidence: relationship, incumbency, who helped write the RFP, the competition.</w:t>
            </w:r>
          </w:p>
        </w:tc>
      </w:tr>
      <w:tr>
        <w:tc>
          <w:tcPr>
            <w:tcW w:type="dxa" w:w="4824"/>
            <w:tcW w:w="3700" w:type="dxa"/>
            <w:shd w:val="clear" w:fill="F4F7F9"/>
          </w:tcPr>
          <w:p>
            <w:r>
              <w:rPr>
                <w:i/>
                <w:color w:val="063A5E"/>
                <w:sz w:val="19"/>
              </w:rPr>
              <w:t>“Marketing will sort out the fee later.”</w:t>
            </w:r>
          </w:p>
        </w:tc>
        <w:tc>
          <w:tcPr>
            <w:tcW w:type="dxa" w:w="4824"/>
            <w:tcW w:w="5700" w:type="dxa"/>
            <w:shd w:val="clear" w:fill="F4F7F9"/>
          </w:tcPr>
          <w:p>
            <w:r>
              <w:rPr>
                <w:color w:val="15242E"/>
                <w:sz w:val="19"/>
              </w:rPr>
              <w:t>Profitability isn’t optional — it’s Section C for a reason. A win we can’t deliver profitably isn’t a win; it’s a loss with a press release.</w:t>
            </w:r>
          </w:p>
        </w:tc>
      </w:tr>
      <w:tr>
        <w:tc>
          <w:tcPr>
            <w:tcW w:type="dxa" w:w="4824"/>
            <w:tcW w:w="3700" w:type="dxa"/>
            <w:shd w:val="clear" w:fill="F4F7F9"/>
          </w:tcPr>
          <w:p>
            <w:r>
              <w:rPr>
                <w:i/>
                <w:color w:val="063A5E"/>
                <w:sz w:val="19"/>
              </w:rPr>
              <w:t>“We’ll just match the competitor’s price.”</w:t>
            </w:r>
          </w:p>
        </w:tc>
        <w:tc>
          <w:tcPr>
            <w:tcW w:type="dxa" w:w="4824"/>
            <w:tcW w:w="5700" w:type="dxa"/>
            <w:shd w:val="clear" w:fill="F4F7F9"/>
          </w:tcPr>
          <w:p>
            <w:r>
              <w:rPr>
                <w:color w:val="15242E"/>
                <w:sz w:val="19"/>
              </w:rPr>
              <w:t>Matching price throws away the value read. If we’re uniquely positioned, a premium is earned, not greedy — and quals-based work is won on that value before price is ever negotiated.</w:t>
            </w:r>
          </w:p>
        </w:tc>
      </w:tr>
    </w:tbl>
    <w:p>
      <w:r>
        <w:br/>
      </w:r>
    </w:p>
    <w:p>
      <w:pPr>
        <w:keepNext/>
        <w:spacing w:before="280" w:after="80"/>
      </w:pPr>
      <w:r>
        <w:rPr>
          <w:b/>
          <w:color w:val="6FA000"/>
          <w:sz w:val="26"/>
        </w:rPr>
        <w:t xml:space="preserve">6  </w:t>
      </w:r>
      <w:r>
        <w:rPr>
          <w:b/>
          <w:color w:val="063A5E"/>
          <w:sz w:val="26"/>
        </w:rPr>
        <w:t>Exercise sheet — the shared lead (facilitator copy)</w:t>
      </w:r>
    </w:p>
    <w:p>
      <w:pPr>
        <w:spacing w:after="160" w:before="0" w:line="300" w:lineRule="auto"/>
      </w:pPr>
      <w:r>
        <w:rPr>
          <w:b w:val="0"/>
          <w:i/>
          <w:color w:val="5C7180"/>
          <w:sz w:val="20"/>
        </w:rPr>
        <w:t>Distribute the sanitized lead and RFP excerpt before the session. Below is the worksheet participants will have used, plus the calibration targets to guide your debrief. Replace bracketed items with the real sanitized lead from WSE.</w:t>
      </w:r>
    </w:p>
    <w:p>
      <w:pPr>
        <w:spacing w:after="60" w:before="0" w:line="300" w:lineRule="auto"/>
      </w:pPr>
      <w:r>
        <w:rPr>
          <w:b/>
          <w:i w:val="0"/>
          <w:color w:val="063A5E"/>
          <w:sz w:val="22"/>
        </w:rPr>
        <w:t>Exercise A — Work it through (pre-work, reviewed live)</w:t>
      </w:r>
    </w:p>
    <w:p>
      <w:pPr>
        <w:pStyle w:val="ListBullet"/>
        <w:spacing w:after="60" w:line="288" w:lineRule="auto"/>
      </w:pPr>
      <w:r>
        <w:rPr>
          <w:b/>
          <w:color w:val="063A5E"/>
          <w:sz w:val="21"/>
        </w:rPr>
        <w:t xml:space="preserve">Sections A–D, worked as yes/no judgments — no total score. </w:t>
      </w:r>
      <w:r>
        <w:rPr>
          <w:color w:val="15242E"/>
          <w:sz w:val="21"/>
        </w:rPr>
        <w:t>Two hard gates in Section A (criteria match; capacity/responsiveness) are decisive stop signals, no matter how strong the rest of the read is.</w:t>
      </w:r>
    </w:p>
    <w:p>
      <w:pPr>
        <w:pStyle w:val="ListBullet"/>
        <w:spacing w:after="60" w:line="288" w:lineRule="auto"/>
      </w:pPr>
      <w:r>
        <w:rPr>
          <w:b/>
          <w:color w:val="063A5E"/>
          <w:sz w:val="21"/>
        </w:rPr>
        <w:t xml:space="preserve">Capture the essentials. </w:t>
      </w:r>
      <w:r>
        <w:rPr>
          <w:color w:val="15242E"/>
          <w:sz w:val="21"/>
        </w:rPr>
        <w:t>Your read (strengths vs. open questions), the pursuit type, a quick value read (high/medium/low on fit, client experience, business return), estimated net revenue, and honest win probability.</w:t>
      </w:r>
    </w:p>
    <w:p>
      <w:pPr>
        <w:pStyle w:val="ListBullet"/>
        <w:spacing w:after="60" w:line="288" w:lineRule="auto"/>
      </w:pPr>
      <w:r>
        <w:rPr>
          <w:b/>
          <w:color w:val="063A5E"/>
          <w:sz w:val="21"/>
        </w:rPr>
        <w:t xml:space="preserve">Flag the tension. </w:t>
      </w:r>
      <w:r>
        <w:rPr>
          <w:color w:val="15242E"/>
          <w:sz w:val="21"/>
        </w:rPr>
        <w:t>The one place you were tempted to talk yourself into a “Go.”</w:t>
      </w:r>
    </w:p>
    <w:p>
      <w:pPr>
        <w:spacing w:after="60" w:before="0" w:line="300" w:lineRule="auto"/>
      </w:pPr>
      <w:r>
        <w:rPr>
          <w:b/>
          <w:i w:val="0"/>
          <w:color w:val="063A5E"/>
          <w:sz w:val="22"/>
        </w:rPr>
        <w:t>Exercise B — Reconcile (breakout)</w:t>
      </w:r>
    </w:p>
    <w:p>
      <w:pPr>
        <w:pStyle w:val="ListBullet"/>
        <w:spacing w:after="60" w:line="288" w:lineRule="auto"/>
      </w:pPr>
      <w:r>
        <w:rPr>
          <w:b/>
          <w:color w:val="063A5E"/>
          <w:sz w:val="21"/>
        </w:rPr>
        <w:t xml:space="preserve">Agree on one win probability </w:t>
      </w:r>
      <w:r>
        <w:rPr>
          <w:color w:val="15242E"/>
          <w:sz w:val="21"/>
        </w:rPr>
        <w:t>for the shared lead, plus a single piece of evidence behind it.</w:t>
      </w:r>
    </w:p>
    <w:p>
      <w:pPr>
        <w:pStyle w:val="ListBullet"/>
        <w:spacing w:after="60" w:line="288" w:lineRule="auto"/>
      </w:pPr>
      <w:r>
        <w:rPr>
          <w:b/>
          <w:color w:val="063A5E"/>
          <w:sz w:val="21"/>
        </w:rPr>
        <w:t xml:space="preserve">Report back </w:t>
      </w:r>
      <w:r>
        <w:rPr>
          <w:color w:val="15242E"/>
          <w:sz w:val="21"/>
        </w:rPr>
        <w:t>the number and the evidence — not the hope.</w:t>
      </w:r>
    </w:p>
    <w:p>
      <w:pPr>
        <w:spacing w:after="60" w:before="0" w:line="300" w:lineRule="auto"/>
      </w:pPr>
      <w:r>
        <w:rPr>
          <w:b/>
          <w:i w:val="0"/>
          <w:color w:val="063A5E"/>
          <w:sz w:val="22"/>
        </w:rPr>
        <w:t>Exercise C — Price it (pairs, quick)</w:t>
      </w:r>
    </w:p>
    <w:p>
      <w:pPr>
        <w:pStyle w:val="ListBullet"/>
        <w:spacing w:after="60" w:line="288" w:lineRule="auto"/>
      </w:pPr>
      <w:r>
        <w:rPr>
          <w:b/>
          <w:color w:val="063A5E"/>
          <w:sz w:val="21"/>
        </w:rPr>
        <w:t xml:space="preserve">Name the pursuit type. </w:t>
      </w:r>
      <w:r>
        <w:rPr>
          <w:color w:val="15242E"/>
          <w:sz w:val="21"/>
        </w:rPr>
        <w:t>Qualifications-based, RFP, or direct appeal — and say where that puts the pricing decision.</w:t>
      </w:r>
    </w:p>
    <w:p>
      <w:pPr>
        <w:pStyle w:val="ListBullet"/>
        <w:spacing w:after="60" w:line="288" w:lineRule="auto"/>
      </w:pPr>
      <w:r>
        <w:rPr>
          <w:b/>
          <w:color w:val="063A5E"/>
          <w:sz w:val="21"/>
        </w:rPr>
        <w:t xml:space="preserve">Read the value. </w:t>
      </w:r>
      <w:r>
        <w:rPr>
          <w:color w:val="15242E"/>
          <w:sz w:val="21"/>
        </w:rPr>
        <w:t>High, medium, or low on uniqueness of fit, client experience, and business return — and say what that read should do to the fee.</w:t>
      </w:r>
    </w:p>
    <w:p>
      <w:pPr>
        <w:spacing w:after="60" w:before="0" w:line="300" w:lineRule="auto"/>
      </w:pPr>
      <w:r>
        <w:rPr>
          <w:b/>
          <w:i w:val="0"/>
          <w:color w:val="063A5E"/>
          <w:sz w:val="22"/>
        </w:rPr>
        <w:t>Exercise D — The hard No-Go (pairs)</w:t>
      </w:r>
    </w:p>
    <w:p>
      <w:pPr>
        <w:pStyle w:val="ListBullet"/>
        <w:spacing w:after="60" w:line="288" w:lineRule="auto"/>
      </w:pPr>
      <w:r>
        <w:rPr>
          <w:b/>
          <w:color w:val="063A5E"/>
          <w:sz w:val="21"/>
        </w:rPr>
        <w:t xml:space="preserve">Scenario: </w:t>
      </w:r>
      <w:r>
        <w:rPr>
          <w:color w:val="15242E"/>
          <w:sz w:val="21"/>
        </w:rPr>
        <w:t>a tempting opportunity that fails a hard gate (e.g., not licensed individually in the project state, or the only qualified lead is unavailable for two of three proposal weeks).</w:t>
      </w:r>
    </w:p>
    <w:p>
      <w:pPr>
        <w:pStyle w:val="ListBullet"/>
        <w:spacing w:after="60" w:line="288" w:lineRule="auto"/>
      </w:pPr>
      <w:r>
        <w:rPr>
          <w:b/>
          <w:color w:val="063A5E"/>
          <w:sz w:val="21"/>
        </w:rPr>
        <w:t xml:space="preserve">Role-play </w:t>
      </w:r>
      <w:r>
        <w:rPr>
          <w:color w:val="15242E"/>
          <w:sz w:val="21"/>
        </w:rPr>
        <w:t>delivering the No-Go to an eager principal. Swap roles. Debrief the language that landed.</w:t>
      </w:r>
    </w:p>
    <w:p>
      <w:pPr>
        <w:spacing w:after="80" w:before="40"/>
        <w:pBdr>
          <w:bottom w:val="single" w:sz="8" w:space="1" w:color="E01838"/>
        </w:pBdr>
      </w:pPr>
    </w:p>
    <w:p>
      <w:pPr>
        <w:spacing w:after="0" w:before="0" w:line="300" w:lineRule="auto"/>
      </w:pPr>
      <w:r>
        <w:rPr>
          <w:b w:val="0"/>
          <w:i/>
          <w:color w:val="5C7180"/>
          <w:sz w:val="17"/>
        </w:rPr>
        <w:t>Weston &amp; Sampson · Project Management · Module 1, Week 2 — Facilitator Guide</w:t>
      </w:r>
    </w:p>
    <w:p>
      <w:pPr>
        <w:spacing w:after="120" w:before="0" w:line="300" w:lineRule="auto"/>
      </w:pPr>
      <w:r>
        <w:rPr>
          <w:b w:val="0"/>
          <w:i/>
          <w:color w:val="5C7180"/>
          <w:sz w:val="17"/>
        </w:rPr>
        <w:t>Designed &amp; facilitated by AEC LEAD LLC · Produced with Zweig Group · Draft 2, July 2026</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5242E"/>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